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2CDCF16F" wp14:editId="3326EB7E">
            <wp:extent cx="484505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pacing w:val="18"/>
          <w:w w:val="66"/>
          <w:sz w:val="72"/>
          <w:szCs w:val="72"/>
          <w:lang w:val="uk-UA" w:eastAsia="uk-UA"/>
        </w:rPr>
        <w:t>КИЇВСЬКА МІСЬ</w:t>
      </w:r>
      <w:r w:rsidRPr="00DA4429">
        <w:rPr>
          <w:rFonts w:ascii="Times New Roman" w:eastAsia="Times New Roman" w:hAnsi="Times New Roman"/>
          <w:b/>
          <w:color w:val="auto"/>
          <w:spacing w:val="18"/>
          <w:w w:val="66"/>
          <w:sz w:val="72"/>
          <w:szCs w:val="24"/>
          <w:lang w:val="uk-UA" w:eastAsia="uk-UA"/>
        </w:rPr>
        <w:t>КА РАДА</w:t>
      </w:r>
    </w:p>
    <w:p w:rsidR="002464A8" w:rsidRPr="00DA4429" w:rsidRDefault="004E729E" w:rsidP="002464A8">
      <w:pPr>
        <w:pBdr>
          <w:bottom w:val="thickThinSmallGap" w:sz="24" w:space="2" w:color="00000A"/>
        </w:pBd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pacing w:val="18"/>
          <w:w w:val="90"/>
          <w:sz w:val="28"/>
          <w:szCs w:val="24"/>
          <w:lang w:val="uk-UA" w:eastAsia="uk-UA"/>
        </w:rPr>
        <w:t>ІІ</w:t>
      </w:r>
      <w:r w:rsidR="002464A8" w:rsidRPr="00DA4429">
        <w:rPr>
          <w:rFonts w:ascii="Times New Roman" w:eastAsia="Times New Roman" w:hAnsi="Times New Roman"/>
          <w:b/>
          <w:color w:val="auto"/>
          <w:spacing w:val="18"/>
          <w:w w:val="90"/>
          <w:sz w:val="28"/>
          <w:szCs w:val="24"/>
          <w:lang w:val="uk-UA" w:eastAsia="uk-UA"/>
        </w:rPr>
        <w:t xml:space="preserve"> СЕСІЯ   IX СКЛИКАННЯ</w:t>
      </w: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18"/>
          <w:szCs w:val="52"/>
          <w:lang w:val="uk-UA" w:eastAsia="uk-UA"/>
        </w:rPr>
      </w:pP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52"/>
          <w:szCs w:val="52"/>
          <w:lang w:val="uk-UA" w:eastAsia="uk-UA"/>
        </w:rPr>
        <w:t>РІШЕННЯ</w:t>
      </w:r>
    </w:p>
    <w:p w:rsidR="002464A8" w:rsidRPr="00DA4429" w:rsidRDefault="002464A8" w:rsidP="002464A8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____________№_______________</w:t>
      </w:r>
    </w:p>
    <w:p w:rsidR="002464A8" w:rsidRPr="00DA4429" w:rsidRDefault="002464A8" w:rsidP="002464A8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</w:t>
      </w:r>
    </w:p>
    <w:p w:rsidR="002464A8" w:rsidRPr="00DA4429" w:rsidRDefault="002464A8" w:rsidP="002464A8">
      <w:pPr>
        <w:spacing w:after="0" w:line="240" w:lineRule="auto"/>
        <w:contextualSpacing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770592">
      <w:pPr>
        <w:spacing w:after="0"/>
        <w:contextualSpacing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962"/>
        <w:gridCol w:w="4077"/>
      </w:tblGrid>
      <w:tr w:rsidR="00202916" w:rsidRPr="00814F74" w:rsidTr="0037462F">
        <w:tc>
          <w:tcPr>
            <w:tcW w:w="4962" w:type="dxa"/>
            <w:shd w:val="clear" w:color="auto" w:fill="auto"/>
          </w:tcPr>
          <w:p w:rsidR="002464A8" w:rsidRPr="00DA4429" w:rsidRDefault="0037462F" w:rsidP="00DA442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DA442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Про внесення змін до рішення Київської міської ради «Про заходи щодо впорядкування тютюнокуріння в місті Києві» ві</w:t>
            </w:r>
            <w:r w:rsidR="006605B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д 18 вересня 2008 року №246/246</w:t>
            </w:r>
          </w:p>
        </w:tc>
        <w:tc>
          <w:tcPr>
            <w:tcW w:w="4077" w:type="dxa"/>
            <w:shd w:val="clear" w:color="auto" w:fill="auto"/>
          </w:tcPr>
          <w:p w:rsidR="002464A8" w:rsidRPr="00DA4429" w:rsidRDefault="002464A8" w:rsidP="00DA442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220731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Відповідно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 Закону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«Про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місцеве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самоврядування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Україні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», Закону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«Про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столицю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-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місто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-герой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Київ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», Закону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«Про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державне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регулювання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виробництва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і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обігу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спирту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етилового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коньячного і плодового,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алкогольних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напоїв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тютюнових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виробів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», Закону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«Про заходи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щодо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попередження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зменшення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вживання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тютюнових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виробів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і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їх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шкідливого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впливу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здоров'я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населення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», Закону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«Про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охорону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навколишнього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середовища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», Закону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Основи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законодавства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про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охорону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здоров’я</w:t>
      </w:r>
      <w:proofErr w:type="spellEnd"/>
      <w:r w:rsidR="0029713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»</w:t>
      </w:r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Земельного кодексу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Кодексу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про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адміністративні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правопорушення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в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інтересах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територіальної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громади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міста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Києва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та з метою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впорядкування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тютюнокуріння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місті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Києві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Київська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міська</w:t>
      </w:r>
      <w:proofErr w:type="spellEnd"/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рада</w:t>
      </w:r>
      <w:r w:rsidRPr="00DA44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</w:p>
    <w:p w:rsidR="00220731" w:rsidRPr="00DA4429" w:rsidRDefault="00220731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ВИРІШИЛА:</w:t>
      </w:r>
    </w:p>
    <w:p w:rsidR="00220731" w:rsidRPr="00DA4429" w:rsidRDefault="00220731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37462F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1. Визначити, що вільними від тютюнокуріння місцями, в яких </w:t>
      </w:r>
      <w:r w:rsidR="00987BFB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повністю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заборонено </w:t>
      </w:r>
      <w:r w:rsidR="00E05BD0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вживання та використання тютюнових виробів, предметів, пов’язаних з їх вживанням, трав’яних виробів для куріння, електронних сигарет, пристроїв для споживання тютюнових виробів без їх згоряння, кальянів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 місті Києві є: </w:t>
      </w:r>
      <w:r w:rsidR="00E05BD0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дитячі майданчики; місця дитячого відпочинку, включаючи ігротеки, комп'ютерні клуби, кінотеатри, культурні центри та прилегла до них територія; зупинки громадського транспорту та 50-метрова зона навколо них; транспорт загального користування, що використовується для перевезення пасажирів, у тому числі в таксі; вокзали та станції; ліфти, будинкові сходи та під'їзди багатоповерхових житлових будинків, </w:t>
      </w:r>
      <w:r w:rsidR="00E05BD0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>гуртожитки, підземні переходи, таксофони; церкви та 50-метрова зона навколо них; заклади освіти, охорони здоров'я, культури, фізичної культури та спорту; зони відпочинку, включаючи парки, пляжі, сквери; гідротехнічні споруди та прилегла до них територія; територія земель рекреаційного призначення; літні майданчики, закриті та відкриті спортивні споруди; приміщення органів державної влади, інших державних установ, органів місцевого самоврядування: приміщення підприємств, установ та організацій усіх форм власності; приміщення закладів ресторанного господарства; приміщення готелів та аналогічних засобів розміщення громадян.</w:t>
      </w:r>
    </w:p>
    <w:p w:rsidR="0037462F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 Вилучити частини 2, 3 та 4.</w:t>
      </w:r>
    </w:p>
    <w:p w:rsidR="0037462F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Частини 5-12 вважати частинами 2-9.</w:t>
      </w:r>
    </w:p>
    <w:p w:rsidR="0037462F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3. У частині 5 вилучити пункти 5.1-5.2.</w:t>
      </w:r>
    </w:p>
    <w:p w:rsidR="0037462F" w:rsidRPr="00DA4429" w:rsidRDefault="001D003B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Частину 5 та п</w:t>
      </w:r>
      <w:r w:rsidR="0037462F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ункт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5.3 вважати новою частиною 2</w:t>
      </w:r>
      <w:r w:rsidR="0037462F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37462F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4. Останню нову частину 9 викласти у такій редакції:</w:t>
      </w:r>
    </w:p>
    <w:p w:rsidR="0037462F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«9. Контроль за виконанням цього рішення покласти на постійну комісію Київської міської ради з питань охорони здоров’я та соціальної політики та постійну комісію Київської міської ради з питань дотримання законності, правопорядку та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зв’язків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з правоохоронними органами.». </w:t>
      </w:r>
    </w:p>
    <w:p w:rsidR="00220731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Це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рішення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набирає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чинності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 дня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його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офіційного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оприлюднення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220731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</w:t>
      </w:r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Офіційно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оприлюднити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це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рішення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спосіб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визначений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чинним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законодавством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України</w:t>
      </w:r>
      <w:proofErr w:type="spellEnd"/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220731" w:rsidRPr="00DA4429" w:rsidRDefault="0037462F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</w:t>
      </w:r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Контроль за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виконанням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цього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рішення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покласти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</w:t>
      </w:r>
      <w:r w:rsidR="0016740D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Київського міського голову,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постійну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комісію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Київської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міської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ради з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питань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охорони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здоров’я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соціальної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політики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постійну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комісію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Київської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міської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ради з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питань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дотримання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законності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правопорядку та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зв’язків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правоохоронними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органами.</w:t>
      </w:r>
    </w:p>
    <w:p w:rsidR="00220731" w:rsidRPr="00DA4429" w:rsidRDefault="00220731" w:rsidP="00DA4429">
      <w:pPr>
        <w:suppressAutoHyphens w:val="0"/>
        <w:spacing w:after="24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220731" w:rsidRPr="00DA4429" w:rsidRDefault="00220731" w:rsidP="00DA4429">
      <w:pPr>
        <w:suppressAutoHyphens w:val="0"/>
        <w:spacing w:after="0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proofErr w:type="spellStart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Київський</w:t>
      </w:r>
      <w:proofErr w:type="spellEnd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міський</w:t>
      </w:r>
      <w:proofErr w:type="spellEnd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голова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ab/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                </w:t>
      </w:r>
      <w:r w:rsidR="006D77CE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                      </w:t>
      </w:r>
      <w:r w:rsidR="006D77CE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ab/>
        <w:t xml:space="preserve">   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      </w:t>
      </w:r>
      <w:proofErr w:type="spellStart"/>
      <w:r w:rsidR="006D77CE"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Віталій</w:t>
      </w:r>
      <w:proofErr w:type="spellEnd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К</w:t>
      </w:r>
      <w:r w:rsidR="00202916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ЛИЧКО</w:t>
      </w: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89478C" w:rsidRDefault="0089478C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89478C" w:rsidRPr="00DA4429" w:rsidRDefault="0089478C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ПОДАННЯ:</w:t>
      </w: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Депутат Київської міської ради                    </w:t>
      </w:r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                 </w:t>
      </w:r>
      <w:r w:rsidR="00A16466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      </w:t>
      </w:r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</w:t>
      </w:r>
      <w:r w:rsidR="003A3AC5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>Я.</w:t>
      </w:r>
      <w:r w:rsidR="008D41EB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</w:t>
      </w:r>
      <w:r w:rsidR="003A3AC5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>ФЕДОРЕНКО</w:t>
      </w: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                                                  </w:t>
      </w: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2464A8" w:rsidRPr="00DA4429" w:rsidRDefault="002464A8" w:rsidP="00DA4429">
      <w:pPr>
        <w:spacing w:after="0"/>
        <w:ind w:left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</w:p>
    <w:p w:rsidR="00220731" w:rsidRPr="00DA4429" w:rsidRDefault="00220731" w:rsidP="00DA4429">
      <w:pPr>
        <w:suppressAutoHyphens w:val="0"/>
        <w:spacing w:after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ПОГОДЖЕНО:</w:t>
      </w:r>
    </w:p>
    <w:p w:rsidR="00220731" w:rsidRPr="00DA4429" w:rsidRDefault="00220731" w:rsidP="00DA4429">
      <w:pPr>
        <w:suppressAutoHyphens w:val="0"/>
        <w:spacing w:after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2464A8" w:rsidRPr="00DA4429" w:rsidRDefault="002464A8" w:rsidP="00DA4429">
      <w:pPr>
        <w:tabs>
          <w:tab w:val="left" w:pos="7091"/>
        </w:tabs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0"/>
        <w:gridCol w:w="206"/>
        <w:gridCol w:w="2595"/>
      </w:tblGrid>
      <w:tr w:rsidR="00202916" w:rsidRPr="00814F74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462F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Постійна комісія Київської міської ради з питань охорони здоров’я та соціальної політики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462F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М. ПОРОШЕНКО</w:t>
            </w: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462F" w:rsidP="00DA4429">
            <w:pPr>
              <w:suppressAutoHyphens w:val="0"/>
              <w:spacing w:after="0"/>
              <w:ind w:right="-10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Ю. УЛАСИК</w:t>
            </w: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462F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Постійна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комісія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міської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ради з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питань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законності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правопорядку та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органами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462F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О. ПЛУЖНИК</w:t>
            </w: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462F" w:rsidP="00DA4429">
            <w:pPr>
              <w:suppressAutoHyphens w:val="0"/>
              <w:spacing w:after="0"/>
              <w:ind w:right="-10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В. КОНОНЕНКО</w:t>
            </w: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66" w:rsidRPr="00DA4429" w:rsidRDefault="00A16466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373A22" w:rsidRPr="00DA4429" w:rsidRDefault="006605BD" w:rsidP="006605BD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В.о. н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ачальник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а</w:t>
            </w:r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управління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правового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Київської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міської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секретаріату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Київської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міської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66" w:rsidRPr="00DA4429" w:rsidRDefault="00A16466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373A22" w:rsidRPr="006605BD" w:rsidRDefault="006605BD" w:rsidP="006605BD">
            <w:pPr>
              <w:suppressAutoHyphens w:val="0"/>
              <w:spacing w:after="0"/>
              <w:ind w:right="-383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В.</w:t>
            </w:r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ПОЛОЖИШНИК</w:t>
            </w:r>
          </w:p>
        </w:tc>
      </w:tr>
    </w:tbl>
    <w:p w:rsidR="002464A8" w:rsidRPr="00DA4429" w:rsidRDefault="002464A8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063A5A" w:rsidRPr="00DA4429" w:rsidRDefault="00063A5A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394A" w:rsidRPr="00DA4429" w:rsidRDefault="0037394A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3A22" w:rsidRPr="00DA4429" w:rsidRDefault="00373A22" w:rsidP="00DA4429">
      <w:pPr>
        <w:suppressAutoHyphens w:val="0"/>
        <w:spacing w:after="0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ПОЯСНЮВАЛЬНА ЗАПИСКА</w:t>
      </w:r>
    </w:p>
    <w:p w:rsidR="00373A22" w:rsidRPr="00DA4429" w:rsidRDefault="00373A22" w:rsidP="00DA4429">
      <w:pPr>
        <w:suppressAutoHyphens w:val="0"/>
        <w:spacing w:after="0"/>
        <w:ind w:right="-35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до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проєкту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Київської міської ради </w:t>
      </w:r>
      <w:r w:rsidR="0037462F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«Про внесення змін до рішення Київської міської ради «Про заходи щодо впорядкування тютюнокуріння в місті Києві» ві</w:t>
      </w:r>
      <w:r w:rsidR="008834B7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 18 вересня 2008 року №246/246»</w:t>
      </w:r>
    </w:p>
    <w:p w:rsidR="00373A22" w:rsidRPr="00DA4429" w:rsidRDefault="00373A22" w:rsidP="00DA4429">
      <w:pPr>
        <w:suppressAutoHyphens w:val="0"/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373A22" w:rsidRPr="00DA4429" w:rsidRDefault="00373A22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1. 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О</w:t>
      </w: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бґрунтування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необхідності прийняття р</w:t>
      </w:r>
      <w:r w:rsidR="009D47B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ішення</w:t>
      </w:r>
    </w:p>
    <w:p w:rsidR="00504D49" w:rsidRPr="00DA4429" w:rsidRDefault="00504D49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Куріння є однією з найбільш поширених шкідливих звичок, боротьба з якою є не тільки медичною, а й соціальною проблемою.</w:t>
      </w:r>
    </w:p>
    <w:p w:rsidR="00504D49" w:rsidRPr="00DA4429" w:rsidRDefault="00504D49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Тютюнокуріння завдає шкоди здоров’ю самих курців та оточуючих їх людей, сприяє розвитку серцево-судинних захворювань, злоякісних новоутворень органів дихання.</w:t>
      </w:r>
    </w:p>
    <w:p w:rsidR="0037394A" w:rsidRPr="00DA4429" w:rsidRDefault="0037394A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Рішення Київської міської ради «Про заходи щодо впорядкування тютюнокуріння в місті Києві» від 18 вересня 2008 року №246/246 було прийнято в інтересах територіальної громади міста Києва, з метою впорядкування тютюнокуріння в місті Києві та у відповідності до Закону України "Про заходи щодо попередження та зменшення вживання тютюнових виробів і їх шкідливого впливу на здоров'я населення".</w:t>
      </w:r>
    </w:p>
    <w:p w:rsidR="00305B8C" w:rsidRPr="00DA4429" w:rsidRDefault="00305B8C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 11 липня 2022 року набрали чинності зміни до Закону України «Про заходи щодо попередження та зменшення вживання тютюнових виробів і їх шкідливого впливу на здоров'я населення» № 2899-IV щодо захисту населення від шкоди вторинного тютюнового диму.</w:t>
      </w:r>
    </w:p>
    <w:p w:rsidR="00305B8C" w:rsidRPr="00DA4429" w:rsidRDefault="00305B8C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 свою чергу, вказані зміни відповідають вимогам Директиви 2014/40/ЄС та Рамкової конвенції ВООЗ із боротьби проти тютюну - це ще один крок на шляху євроінтеграції.</w:t>
      </w:r>
    </w:p>
    <w:p w:rsidR="00770592" w:rsidRPr="00DA4429" w:rsidRDefault="00770592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37462F" w:rsidRPr="00DA4429" w:rsidRDefault="009D47B6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2. Мета і шляхи її досягнення</w:t>
      </w:r>
    </w:p>
    <w:p w:rsidR="00496B3C" w:rsidRPr="00DA4429" w:rsidRDefault="00496B3C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У зв’язку з набуттям чинності 11 липня 2022 року змін до Закону України "Про заходи щодо попередження та зменшення вживання тютюнових виробів і їх шкідливого впливу на здоров'я населення", є необхідність у приведенні до відповідності норм рішення Київської міської ради «Про заходи щодо впорядкування тютюнокуріння в місті Києві» від 18 вересня 2008 року №246/246</w:t>
      </w: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.</w:t>
      </w:r>
    </w:p>
    <w:p w:rsidR="00770592" w:rsidRPr="00DA4429" w:rsidRDefault="00496B3C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Також пропонується додатково визначити місце заборони </w:t>
      </w:r>
      <w:r w:rsidR="001D696A"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куріння, вживання, використання тютюнових виробів, електронних сигарет, тютюнових виробів без їх згоряння та кальянів на території земель рекреаційного призначення.</w:t>
      </w:r>
    </w:p>
    <w:p w:rsidR="00770592" w:rsidRPr="00DA4429" w:rsidRDefault="00770592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</w:p>
    <w:p w:rsidR="00373A22" w:rsidRPr="00DA4429" w:rsidRDefault="009D47B6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3</w:t>
      </w:r>
      <w:r w:rsidR="00373A22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Стан нормативно-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правової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бази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у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даній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сфері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правового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регулювання</w:t>
      </w:r>
      <w:proofErr w:type="spellEnd"/>
    </w:p>
    <w:p w:rsidR="00F21434" w:rsidRPr="00DA4429" w:rsidRDefault="004034E8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Земельним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кодексом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визначаються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норми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щодо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</w:t>
      </w:r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емель </w:t>
      </w:r>
      <w:proofErr w:type="spellStart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рекреаційного</w:t>
      </w:r>
      <w:proofErr w:type="spellEnd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призначення</w:t>
      </w:r>
      <w:proofErr w:type="spellEnd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F21434" w:rsidRPr="00DA4429" w:rsidRDefault="00F21434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Відповідно д</w:t>
      </w:r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статті 50 Земельного кодексу України, до земель рекреаційного призначення належать землі, які використовуються для організації відпочинку населення, туризму та проведення спортивних заходів</w:t>
      </w:r>
    </w:p>
    <w:p w:rsidR="00F21434" w:rsidRPr="00DA4429" w:rsidRDefault="00F21434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Відповідно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статті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51 Земельного кодексу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, д</w:t>
      </w:r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 земель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рекреаційного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призначення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належать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зокрема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земельні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ділянки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зелених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зон і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зелених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насаджень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міст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інших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населених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пунктів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F21434" w:rsidRPr="00DA4429" w:rsidRDefault="00F21434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Відповідно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ч. 3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статті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52 Земельного кодексу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, н</w:t>
      </w:r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 землях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рекреаційного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призначення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proofErr w:type="gram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забороняється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діяльність</w:t>
      </w:r>
      <w:proofErr w:type="spellEnd"/>
      <w:proofErr w:type="gram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що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перешкоджає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або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може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перешкоджати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використання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їх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за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призначенням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а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також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негативно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впливати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або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може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впливати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</w:t>
      </w:r>
      <w:proofErr w:type="spellStart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природний</w:t>
      </w:r>
      <w:proofErr w:type="spellEnd"/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стан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цих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земель.</w:t>
      </w:r>
    </w:p>
    <w:p w:rsidR="004034E8" w:rsidRPr="00DA4429" w:rsidRDefault="00F21434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Відповідним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проєктом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пропонується </w:t>
      </w:r>
      <w:r w:rsidR="00D04BA4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використати термінологію Земельного Кодексу України, щодо </w:t>
      </w:r>
      <w:r w:rsidR="00D04BA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земель </w:t>
      </w:r>
      <w:proofErr w:type="spellStart"/>
      <w:r w:rsidR="00D04BA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рекреаційного</w:t>
      </w:r>
      <w:proofErr w:type="spellEnd"/>
      <w:r w:rsidR="00D04BA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D04BA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призначення</w:t>
      </w:r>
      <w:proofErr w:type="spellEnd"/>
      <w:r w:rsidR="00D04BA4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21434" w:rsidRPr="00DA4429" w:rsidRDefault="004034E8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Відповідно до </w:t>
      </w:r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ч.2 статті 63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Закону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Ук</w:t>
      </w:r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раїни</w:t>
      </w:r>
      <w:proofErr w:type="spellEnd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«Про </w:t>
      </w:r>
      <w:proofErr w:type="spellStart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охорону</w:t>
      </w:r>
      <w:proofErr w:type="spellEnd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навколиш</w:t>
      </w:r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нього</w:t>
      </w:r>
      <w:proofErr w:type="spellEnd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природного </w:t>
      </w:r>
      <w:proofErr w:type="spellStart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середовища</w:t>
      </w:r>
      <w:proofErr w:type="spellEnd"/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 на</w:t>
      </w:r>
      <w:r w:rsidR="00F21434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території рекреаційних зон забороняються:</w:t>
      </w:r>
    </w:p>
    <w:p w:rsidR="00F21434" w:rsidRPr="00DA4429" w:rsidRDefault="00F21434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а) господарська та інша діяльність, що негативно впливає на навколишнє природне середовище або може перешкодити використанню їх за цільовим призначенням;</w:t>
      </w:r>
    </w:p>
    <w:p w:rsidR="00F21434" w:rsidRPr="00DA4429" w:rsidRDefault="00F21434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б) зміни природного ландшафту та проведення інших дій, що суперечать використанню цих зон за прямим призначенням.</w:t>
      </w:r>
    </w:p>
    <w:p w:rsidR="00F21434" w:rsidRPr="00DA4429" w:rsidRDefault="00F21434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Відповідно до ч.3 статті 63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Закону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України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«Про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охорону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навколишнього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природного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середовища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режим використання територій рекреаційних зон визначається місцевими радами відповідно до законодавства України.</w:t>
      </w:r>
    </w:p>
    <w:p w:rsidR="00D04BA4" w:rsidRPr="00DA4429" w:rsidRDefault="004034E8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Відповідно до </w:t>
      </w:r>
      <w:r w:rsidR="00D04BA4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статті 5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Закону України «Основи законодавства України про охорону здоров’я» </w:t>
      </w:r>
      <w:r w:rsidR="00D04BA4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державні, громадські або інші органи, підприємства, установи, організації, посадові особи та громадяни зобов’язані забезпечити пріоритетність охорони здоров’я у власній діяльності, не завдавати шкоди здоров’ю населення і окремих осіб.</w:t>
      </w:r>
    </w:p>
    <w:p w:rsidR="00D04BA4" w:rsidRPr="00DA4429" w:rsidRDefault="00D04BA4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Відповідно до пунктів «б» та «г» статті 6 Закону України «Основи законодавства України про охорону здоров’я», кожний громадянин України має право на охорону здоров'я, що передбачає безпечне для життя і здоров'я навколишнє природне середовище, безпечні і здорові умови праці, навчання, побуту та відпочинку.</w:t>
      </w:r>
    </w:p>
    <w:p w:rsidR="00770592" w:rsidRPr="00DA4429" w:rsidRDefault="007224C2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 статті 13 Закону</w:t>
      </w:r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України «Про заходи щодо попередження та зменшення вживання тютюнових виробів і їх шкідливого впливу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 здоров'я населення» визначено</w:t>
      </w:r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16 місць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щодо заборони куріння, вживання та використання тютюнових виробів, предметів, пов’язаних з їх вживанням, трав’яних виробів для куріння, електронних сигарет, пристроїв для споживання тютюнових виробів без їх згоряння, кальянів, </w:t>
      </w:r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але 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землі рекреаційного призначення</w:t>
      </w:r>
      <w:r w:rsidR="004034E8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до цього переліку не увійшли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770592" w:rsidRPr="00DA4429" w:rsidRDefault="007224C2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Відповідно до ч. 7 ст. 13 Закону України «Про заходи щодо попередження та зменшення вживання тютюнових виробів і їх шкідливого впливу на здоров'я населення» сільські, селищні та міські ради у межах відповідної адміністративно-територіальної одиниці можуть постійно або тимчасово заборонити куріння, вживання, використання тютюнових виробів, електронних сигарет, тютюнових виробів без їх згоряння та кальянів у додатково визначених ними місцях.</w:t>
      </w:r>
    </w:p>
    <w:p w:rsidR="00770592" w:rsidRPr="00DA4429" w:rsidRDefault="00770592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770592" w:rsidRPr="00DA4429" w:rsidRDefault="001D696A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4. Фінансово-економічне об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ґрунтування</w:t>
      </w:r>
    </w:p>
    <w:p w:rsidR="00770592" w:rsidRPr="00DA4429" w:rsidRDefault="001D696A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При</w:t>
      </w:r>
      <w:r w:rsidR="00504D49"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йняття та реалізація даного </w:t>
      </w:r>
      <w:proofErr w:type="spellStart"/>
      <w:r w:rsidR="00504D49"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проє</w:t>
      </w:r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кту</w:t>
      </w:r>
      <w:proofErr w:type="spellEnd"/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рішення не потребує витрат з місцевого бюджету.</w:t>
      </w:r>
    </w:p>
    <w:p w:rsidR="00770592" w:rsidRPr="00DA4429" w:rsidRDefault="00770592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</w:p>
    <w:p w:rsidR="00770592" w:rsidRPr="00DA4429" w:rsidRDefault="0037394A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5</w:t>
      </w:r>
      <w:r w:rsidR="001D696A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. Прогноз соціально-економічних та інших наслідків прийняття рішення</w:t>
      </w:r>
    </w:p>
    <w:p w:rsidR="00373A22" w:rsidRPr="00DA4429" w:rsidRDefault="003C41E3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Прийняття рішення сприятиме</w:t>
      </w:r>
      <w:r w:rsidR="00770592" w:rsidRPr="00DA44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592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зниженню захворюваності та збільшенню тривалості життя людини,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770592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забезпеченню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захисту людини від шкідливого впливу </w:t>
      </w:r>
      <w:r w:rsidR="00770592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тютюнових виробів, предметів, пов’язаних з їх вживанням, трав’яних виробів для куріння, електронних сигарет, пристроїв для споживання тютюнових виробів без їх згоряння, кальянів та створюватиме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умов</w:t>
      </w:r>
      <w:r w:rsidR="00770592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и для обмеження їх вживання та використання.</w:t>
      </w:r>
    </w:p>
    <w:p w:rsidR="00373A22" w:rsidRPr="00DA4429" w:rsidRDefault="00373A22" w:rsidP="00DA4429">
      <w:pPr>
        <w:suppressAutoHyphens w:val="0"/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373A22" w:rsidRPr="00DA4429" w:rsidRDefault="0016740D" w:rsidP="00DA4429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 xml:space="preserve">6. Суб'єкт подання </w:t>
      </w:r>
      <w:proofErr w:type="spellStart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проє</w:t>
      </w:r>
      <w:r w:rsidR="00373A22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кту</w:t>
      </w:r>
      <w:proofErr w:type="spellEnd"/>
      <w:r w:rsidR="00373A22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 xml:space="preserve"> рішення</w:t>
      </w:r>
    </w:p>
    <w:p w:rsidR="0016740D" w:rsidRPr="00DA4429" w:rsidRDefault="00EB233D" w:rsidP="00DA4429">
      <w:pPr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16740D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Суб’єктом подання </w:t>
      </w:r>
      <w:proofErr w:type="spellStart"/>
      <w:r w:rsidR="0016740D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>проє</w:t>
      </w:r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>кту</w:t>
      </w:r>
      <w:proofErr w:type="spellEnd"/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рішення Київської міської ради є </w:t>
      </w:r>
      <w:r w:rsidR="00373A22" w:rsidRPr="00DA442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депутат Київської міської ради  — Ярослав ФЕДОРЕНКО</w:t>
      </w:r>
      <w:r w:rsidR="0016740D" w:rsidRPr="00DA442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.</w:t>
      </w:r>
    </w:p>
    <w:p w:rsidR="00373A22" w:rsidRPr="00DA4429" w:rsidRDefault="00373A22" w:rsidP="00DA4429">
      <w:pPr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Доповідач на пленарному засіданні - депутат Київської міської ради – Ярослав ФЕДОРЕНКО.</w:t>
      </w:r>
    </w:p>
    <w:p w:rsidR="00373A22" w:rsidRPr="00DA4429" w:rsidRDefault="00373A22" w:rsidP="00DA4429">
      <w:pPr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73A22" w:rsidRPr="00DA4429" w:rsidRDefault="00373A22" w:rsidP="00DA4429">
      <w:pPr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73A22" w:rsidRPr="00DA4429" w:rsidRDefault="00DB1AA5" w:rsidP="00DA4429">
      <w:pPr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Д</w:t>
      </w:r>
      <w:r w:rsidR="00373A22"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епутат Київської міської ради                                          Ярослав ФЕДОРЕНКО</w:t>
      </w:r>
    </w:p>
    <w:p w:rsidR="00A16466" w:rsidRPr="00DA4429" w:rsidRDefault="00A16466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3A22" w:rsidRPr="00DA4429" w:rsidRDefault="00373A22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A16466" w:rsidRPr="00DA4429" w:rsidRDefault="00A16466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A16466" w:rsidRPr="00DA4429" w:rsidRDefault="00A16466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A16466" w:rsidRPr="00DA4429" w:rsidRDefault="00A16466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504D49" w:rsidRPr="00DA4429" w:rsidRDefault="00504D49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504D49" w:rsidRPr="00DA4429" w:rsidRDefault="00504D49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504D49" w:rsidRPr="00DA4429" w:rsidRDefault="00504D49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504D49" w:rsidRPr="00DA4429" w:rsidRDefault="00504D49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A16466" w:rsidRDefault="00A16466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8834B7" w:rsidRDefault="008834B7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8834B7" w:rsidRPr="00DA4429" w:rsidRDefault="008834B7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A16466" w:rsidRPr="00DA4429" w:rsidRDefault="00A16466" w:rsidP="00DA4429">
      <w:pPr>
        <w:suppressAutoHyphens w:val="0"/>
        <w:spacing w:after="0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373A22" w:rsidRPr="00DA4429" w:rsidRDefault="00373A22" w:rsidP="00DA4429">
      <w:pPr>
        <w:suppressAutoHyphens w:val="0"/>
        <w:spacing w:after="0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ПОРІВНЯЛЬНА ТАБЛИЦЯ</w:t>
      </w:r>
    </w:p>
    <w:p w:rsidR="00373A22" w:rsidRPr="00DA4429" w:rsidRDefault="00DC08C5" w:rsidP="00B217BC">
      <w:pPr>
        <w:suppressAutoHyphens w:val="0"/>
        <w:spacing w:after="0"/>
        <w:ind w:right="-35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до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проєкту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Київської міської ради «Про внесення змін до рішення Київської міської ради «Про заходи щодо впорядкування тютюнокуріння в місті Києві» від 18 вересня 2008 року №246/246»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257"/>
        <w:gridCol w:w="4458"/>
      </w:tblGrid>
      <w:tr w:rsidR="00DC08C5" w:rsidRPr="00DA4429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Чинна редакція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Запропонована редакція</w:t>
            </w:r>
          </w:p>
        </w:tc>
      </w:tr>
      <w:tr w:rsidR="00DC08C5" w:rsidRPr="00814F74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Відповідно до Закону України "Про місцеве самоврядування в Україні", Закону України "Про столицю України - місто-герой Київ", Закону України "Про державне регулювання виробництва і обігу спирту етилового, коньячного і плодового, алкогольних напоїв та тютюнових виробів", Закону України "Про заходи щодо попередження та зменшення вживання тютюнових виробів і їх шкідливого впливу на здоров'я населення", Кодексу України про адміністративні правопорушення, в інтересах територіальної громади міста Києва та з метою впорядкування тютюнокуріння в місті Києві Київська міська рада </w:t>
            </w:r>
            <w:r w:rsidRPr="00DA4429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uk-UA" w:eastAsia="uk-UA"/>
              </w:rPr>
              <w:t>вирішила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Відповідно до Закону України "Про місцеве самоврядування в Україні", Закону України "Про столицю України - місто-герой Київ", Закону України "Про державне регулювання виробництва і обігу спирту етилового, коньячного і плодового, алкогольних напоїв та тютюнових виробів", Закону України "Про заходи щодо попередження та зменшення вживання тютюнових виробів і їх шкідливого впливу на здоров'я населення", 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Закону України «Про охорону навколишнього природного середовища», Закону України «Основи законодавства України про охорону здоров’я</w:t>
            </w:r>
            <w:r w:rsidR="00504D49"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»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, Земельного кодексу України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, Кодексу України про адміністративні правопорушення, в інтересах територіальної громади міста Києва та з метою впорядкування тютюнокуріння в місті Києві Київська міська рада вирішила:</w:t>
            </w:r>
          </w:p>
        </w:tc>
      </w:tr>
      <w:tr w:rsidR="00DC08C5" w:rsidRPr="00814F74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1. Визначити, що вільними від тютюнокуріння місцями, в</w:t>
            </w:r>
            <w:r w:rsidRPr="00DA4429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val="uk-UA" w:eastAsia="uk-UA"/>
              </w:rPr>
              <w:t> 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яких повністю заборонено вживання тютюнових виробів в місті Києві є: дитячі майданчики; місця дитячого відпочинку, включаючи ігротеки, комп’ютерні клуби, кінотеатри та прилегла до них територія; зупинки громадського транспорту та 50-метрова зона навколо них; ліфти, будинкові сходи та під'їзди багатоповерхових житлових будинків, гуртожитки, підземні переходи, таксофони; церкви та 50-метрова зона навколо них; заклади освіти, охорони здоров'я, культури, фізичної культури та спорту; зони відпочинку; включаючи парки, пляжі, сквери; літні майданчики, закриті та відкриті спортивні споруди; робочі місця на підприємствах, установах та організаціях різної форми власності.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1. Визначити, що вільними від тютюнокуріння місцями, в яких повністю заборонено вживання 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та використання тютюнових виробів, предметів, пов’язаних з їх вживанням, трав’яних виробів для куріння, електронних сигарет, пристроїв для споживання тютюнових виробів без їх згоряння, кальянів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 в місті Києві є: дитячі майданчики; місця дитячого відпочинку, включаючи ігротеки, комп'ютерні клуби, кінотеатри, 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культурні центри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 та прилегла до них територія; зупинки громадського транспорту та 50-метрова зона навколо них; 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транспорт загального користування, що використовується для перевезення пасажирів, у тому числі в таксі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; 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вокзали та станції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; ліфти, будинкові сходи та під'їзди багатоповерхових житлових будинків, гуртожитки, підземні переходи, таксофони; церкви та 50-метрова зона навколо них; заклади освіти, охорони здоров'я, культури, фізичної культури та спорту; зони відпочинку, включаючи парки, пляжі, сквери; 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гідротехнічні споруди та прилегла до них територія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; 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територія земель рекреаційного призначення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; літні майданчики, закриті та відкриті спортивні споруди; 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приміщення органів державної влади, інших державних установ, о</w:t>
            </w:r>
            <w:r w:rsidR="00504D49"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рганів місцевого самоврядування;</w:t>
            </w: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 приміщення підприємств, установ та організацій усіх форм власності; приміщення закладів ресторанного господарства; приміщення готелів та аналогічних засобів розміщення громадян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.</w:t>
            </w:r>
          </w:p>
        </w:tc>
      </w:tr>
      <w:tr w:rsidR="00DC08C5" w:rsidRPr="00DA4429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2. Визначити, що вільними від тютюнокуріння місцями, в яких частково заборонено вживання тютюнових виробів в місті Києві є: офісні приміщення підприємств, установ, організацій, суб'єктів підприємницької діяльності, що користуються найманою робочою силою; заклади торгівлі закритого та відкритого типів, включаючи торгові ряди, кіоски, ринки, ярмарки, оптові та дрібнооптові бази, магазини; об'єкти громадського харчування: ресторани, бари, паби, кафе; нічні клуби та дискотеки, заклади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грально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-розважальної сфери; органи державної влади та місцевого самоврядування,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en-US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Вилучити.</w:t>
            </w:r>
          </w:p>
        </w:tc>
      </w:tr>
      <w:tr w:rsidR="00DC08C5" w:rsidRPr="00DA4429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3. Об'єкти, зазначені у пункті 2, повинні бути облаштовані спеціальними ізольованими для тютюнокуріння місцями.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Вилучити.</w:t>
            </w:r>
          </w:p>
        </w:tc>
      </w:tr>
      <w:tr w:rsidR="00DC08C5" w:rsidRPr="00DA4429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4. Місця для тютюнокуріння мають бути чітко визначені спеціальними інформаційними табличками та визнані такими, що не принижують почуття честі та гідності осіб, які курять.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Вилучити.</w:t>
            </w:r>
          </w:p>
        </w:tc>
      </w:tr>
      <w:tr w:rsidR="00DC08C5" w:rsidRPr="00DA4429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5.1. У тримісячний термін з дня набрання чинності даним рішенням, відвести спеціальні ізольовані місця для тютюнокуріння, обладнані витяжною вентиляцією чи іншими засобами для видалення тютюнового диму та очищення повітря і спеціальними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відгородженнями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 (стінками), зали для осіб, які курять, та осіб, які не курять, а також розмістити наочну інформацію про розташування таких місць та про шкоду, яку завдає здоров'ю людини тютюнокуріння, або визнати споруди такими, в яких заборонено палити взагалі.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Вилучити.</w:t>
            </w:r>
          </w:p>
        </w:tc>
      </w:tr>
      <w:tr w:rsidR="00DC08C5" w:rsidRPr="00DA4429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5.2.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Внести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 зміни в правила внутрішнього розпорядку щодо обмеження тютюнокуріння та встановити відповідальність у формі заходів дисциплінарного характеру на основі корпоративних правил та згідно і у межах чинного законодавства протягом одного місяця з дня набрання чинності даним рішенням.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Вилучити.</w:t>
            </w:r>
          </w:p>
        </w:tc>
      </w:tr>
      <w:tr w:rsidR="001D003B" w:rsidRPr="00814F74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B" w:rsidRPr="00DA4429" w:rsidRDefault="001D003B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7" w:rsidRDefault="008834B7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8834B7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5. Зобов'язати керівників підприємств, установ, організацій різних форм власності, власників чи орендарів відповідних споруд та приміщень:</w:t>
            </w:r>
          </w:p>
          <w:p w:rsidR="001D003B" w:rsidRPr="001D003B" w:rsidRDefault="001D003B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5.3. </w:t>
            </w:r>
            <w:r w:rsidRPr="001D003B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Нести особисту відповідальність щодо дотримання вимог Закону України "Про заходи щодо попередження та зменшення вживання тютюнових виробів і їх шкідливого впливу на здоров'я населення" та даного рішення.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B" w:rsidRPr="001D003B" w:rsidRDefault="001D003B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2.</w:t>
            </w:r>
            <w:r w:rsidRPr="001D003B">
              <w:rPr>
                <w:lang w:val="uk-UA"/>
              </w:rPr>
              <w:t xml:space="preserve"> </w:t>
            </w:r>
            <w:r w:rsidRPr="001D003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Зобов'язати керівників підприємств, установ, організацій різних форм власності, власників чи орендарів відповідних споруд та приміщень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 н</w:t>
            </w:r>
            <w:r w:rsidRPr="001D003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ести особисту відповідальність щодо дотримання вимог Закону України "Про заходи щодо попередження та зменшення вживання тютюнових виробів і їх шкідливого впливу на здоров'я населення" та даного рішення.</w:t>
            </w:r>
          </w:p>
        </w:tc>
      </w:tr>
      <w:tr w:rsidR="00DC08C5" w:rsidRPr="00DA4429" w:rsidTr="00DC08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8834B7" w:rsidP="00DA4429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9</w:t>
            </w:r>
            <w:r w:rsidR="00DC08C5"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>12. Контроль за виконанням цього рішення покласти на Київського міського голову.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C5" w:rsidRPr="00DA4429" w:rsidRDefault="00DC08C5" w:rsidP="00DA4429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9.</w:t>
            </w: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="0016740D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Контроль за виконанням цього рішення покласти на Київського міського голову, </w:t>
            </w:r>
            <w:r w:rsidR="0016740D"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постійну комісію Київської міської ради з питань охорони здоров’я та соціальної політики та постійну комісію Київської міської ради з питань дотримання законності, правопорядку та </w:t>
            </w:r>
            <w:proofErr w:type="spellStart"/>
            <w:r w:rsidR="0016740D"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>зв’язків</w:t>
            </w:r>
            <w:proofErr w:type="spellEnd"/>
            <w:r w:rsidR="0016740D" w:rsidRPr="00DA4429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 з правоохоронними органами</w:t>
            </w:r>
          </w:p>
        </w:tc>
      </w:tr>
    </w:tbl>
    <w:p w:rsidR="00373A22" w:rsidRPr="00DA4429" w:rsidRDefault="00373A22" w:rsidP="00B217BC">
      <w:pPr>
        <w:spacing w:after="0"/>
        <w:contextualSpacing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3A22" w:rsidRPr="00DA4429" w:rsidRDefault="00373A22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bookmarkStart w:id="0" w:name="_GoBack"/>
      <w:r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Депутат Київської міської ради                                          Ярослав ФЕДОРЕНКО</w:t>
      </w:r>
    </w:p>
    <w:bookmarkEnd w:id="0"/>
    <w:p w:rsidR="0016740D" w:rsidRDefault="0016740D" w:rsidP="00770592">
      <w:pPr>
        <w:pStyle w:val="ab"/>
        <w:spacing w:line="276" w:lineRule="auto"/>
        <w:ind w:left="39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6286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0D" w:rsidRDefault="0016740D" w:rsidP="00770592">
      <w:pPr>
        <w:pStyle w:val="ab"/>
        <w:spacing w:before="5" w:line="276" w:lineRule="auto"/>
        <w:rPr>
          <w:rFonts w:ascii="Times New Roman"/>
          <w:sz w:val="13"/>
        </w:rPr>
      </w:pPr>
    </w:p>
    <w:p w:rsidR="0016740D" w:rsidRDefault="0016740D" w:rsidP="00770592">
      <w:pPr>
        <w:pStyle w:val="a9"/>
        <w:spacing w:line="276" w:lineRule="auto"/>
        <w:ind w:left="3119"/>
        <w:jc w:val="left"/>
      </w:pPr>
      <w:r>
        <w:rPr>
          <w:color w:val="BE8F00"/>
        </w:rPr>
        <w:t>ДЕПУТАТ</w:t>
      </w:r>
    </w:p>
    <w:p w:rsidR="0016740D" w:rsidRDefault="0016740D" w:rsidP="00770592">
      <w:pPr>
        <w:pStyle w:val="ab"/>
        <w:spacing w:before="1" w:line="276" w:lineRule="auto"/>
        <w:ind w:left="1134" w:right="184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252095</wp:posOffset>
                </wp:positionV>
                <wp:extent cx="6210935" cy="67310"/>
                <wp:effectExtent l="0" t="0" r="0" b="8890"/>
                <wp:wrapTopAndBottom/>
                <wp:docPr id="3" name="Полі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67310"/>
                        </a:xfrm>
                        <a:custGeom>
                          <a:avLst/>
                          <a:gdLst>
                            <a:gd name="T0" fmla="+- 0 1075 1075"/>
                            <a:gd name="T1" fmla="*/ T0 w 9781"/>
                            <a:gd name="T2" fmla="+- 0 397 397"/>
                            <a:gd name="T3" fmla="*/ 397 h 106"/>
                            <a:gd name="T4" fmla="+- 0 1075 1075"/>
                            <a:gd name="T5" fmla="*/ T4 w 9781"/>
                            <a:gd name="T6" fmla="+- 0 416 397"/>
                            <a:gd name="T7" fmla="*/ 416 h 106"/>
                            <a:gd name="T8" fmla="+- 0 10855 1075"/>
                            <a:gd name="T9" fmla="*/ T8 w 9781"/>
                            <a:gd name="T10" fmla="+- 0 426 397"/>
                            <a:gd name="T11" fmla="*/ 426 h 106"/>
                            <a:gd name="T12" fmla="+- 0 10855 1075"/>
                            <a:gd name="T13" fmla="*/ T12 w 9781"/>
                            <a:gd name="T14" fmla="+- 0 407 397"/>
                            <a:gd name="T15" fmla="*/ 407 h 106"/>
                            <a:gd name="T16" fmla="+- 0 1075 1075"/>
                            <a:gd name="T17" fmla="*/ T16 w 9781"/>
                            <a:gd name="T18" fmla="+- 0 397 397"/>
                            <a:gd name="T19" fmla="*/ 397 h 106"/>
                            <a:gd name="T20" fmla="+- 0 1075 1075"/>
                            <a:gd name="T21" fmla="*/ T20 w 9781"/>
                            <a:gd name="T22" fmla="+- 0 435 397"/>
                            <a:gd name="T23" fmla="*/ 435 h 106"/>
                            <a:gd name="T24" fmla="+- 0 1075 1075"/>
                            <a:gd name="T25" fmla="*/ T24 w 9781"/>
                            <a:gd name="T26" fmla="+- 0 493 397"/>
                            <a:gd name="T27" fmla="*/ 493 h 106"/>
                            <a:gd name="T28" fmla="+- 0 10855 1075"/>
                            <a:gd name="T29" fmla="*/ T28 w 9781"/>
                            <a:gd name="T30" fmla="+- 0 503 397"/>
                            <a:gd name="T31" fmla="*/ 503 h 106"/>
                            <a:gd name="T32" fmla="+- 0 10855 1075"/>
                            <a:gd name="T33" fmla="*/ T32 w 9781"/>
                            <a:gd name="T34" fmla="+- 0 445 397"/>
                            <a:gd name="T35" fmla="*/ 445 h 106"/>
                            <a:gd name="T36" fmla="+- 0 1075 1075"/>
                            <a:gd name="T37" fmla="*/ T36 w 9781"/>
                            <a:gd name="T38" fmla="+- 0 435 397"/>
                            <a:gd name="T39" fmla="*/ 435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1" h="106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2C77" id="Полілінія 3" o:spid="_x0000_s1026" style="position:absolute;margin-left:53.75pt;margin-top:19.85pt;width:489.05pt;height:5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" path="m,l,19,9780,29r,-19l,xm,38l,96r9780,10l9780,48,,38xe" fillcolor="#0d2574" stroked="f">
                <v:path arrowok="t" o:connecttype="custom" o:connectlocs="0,252095;0,264160;6210300,270510;6210300,258445;0,252095;0,276225;0,313055;6210300,319405;6210300,282575;0,276225" o:connectangles="0,0,0,0,0,0,0,0,0,0"/>
                <w10:wrap type="topAndBottom" anchorx="page"/>
              </v:shape>
            </w:pict>
          </mc:Fallback>
        </mc:AlternateContent>
      </w:r>
      <w:r>
        <w:rPr>
          <w:color w:val="BE8F00"/>
        </w:rPr>
        <w:t xml:space="preserve">        КИЇВСЬКОЇ МІСЬКОЇ РАДИ IX СКЛИКАННЯ</w:t>
      </w:r>
      <w:r>
        <w:rPr>
          <w:rFonts w:ascii="Times New Roman" w:eastAsia="Times New Roman" w:hAnsi="Times New Roman" w:cs="Times New Roman"/>
        </w:rPr>
        <w:t xml:space="preserve">  </w:t>
      </w:r>
    </w:p>
    <w:p w:rsidR="0016740D" w:rsidRDefault="0016740D" w:rsidP="00770592">
      <w:pPr>
        <w:ind w:left="-284" w:right="-142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E35FA4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E35FA4">
        <w:rPr>
          <w:rFonts w:ascii="Times New Roman" w:eastAsia="Times New Roman" w:hAnsi="Times New Roman"/>
          <w:sz w:val="28"/>
          <w:szCs w:val="28"/>
          <w:u w:val="single"/>
          <w:lang w:val="uk-UA"/>
        </w:rPr>
        <w:t>13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</w:t>
      </w:r>
      <w:r w:rsidR="00E35FA4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вересня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2022 р.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08/279/09/248-2273</w:t>
      </w:r>
    </w:p>
    <w:p w:rsidR="0016740D" w:rsidRDefault="0016740D" w:rsidP="00770592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16740D" w:rsidRPr="00DA4429" w:rsidRDefault="0016740D" w:rsidP="00770592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 xml:space="preserve">Заступнику міського голови - </w:t>
      </w:r>
    </w:p>
    <w:p w:rsidR="0016740D" w:rsidRPr="00DA4429" w:rsidRDefault="0016740D" w:rsidP="00770592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секретарю Київської міської ради</w:t>
      </w:r>
    </w:p>
    <w:p w:rsidR="0016740D" w:rsidRPr="00DA4429" w:rsidRDefault="0016740D" w:rsidP="00770592">
      <w:pPr>
        <w:suppressAutoHyphens w:val="0"/>
        <w:spacing w:after="0"/>
        <w:ind w:left="4961" w:firstLine="284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16740D" w:rsidRPr="00DA4429" w:rsidRDefault="0016740D" w:rsidP="00770592">
      <w:pPr>
        <w:tabs>
          <w:tab w:val="left" w:pos="1260"/>
        </w:tabs>
        <w:suppressAutoHyphens w:val="0"/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 xml:space="preserve">                                                                       БОНДАРЕНКУ В.В.</w:t>
      </w:r>
    </w:p>
    <w:p w:rsidR="0016740D" w:rsidRPr="00DA4429" w:rsidRDefault="0016740D" w:rsidP="00770592">
      <w:pPr>
        <w:tabs>
          <w:tab w:val="left" w:pos="1260"/>
        </w:tabs>
        <w:suppressAutoHyphens w:val="0"/>
        <w:spacing w:after="0"/>
        <w:ind w:left="4961" w:firstLine="284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</w:p>
    <w:p w:rsidR="0016740D" w:rsidRPr="00DA4429" w:rsidRDefault="0016740D" w:rsidP="00770592">
      <w:pPr>
        <w:suppressAutoHyphens w:val="0"/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>Шановний Володимире Володимировичу!</w:t>
      </w:r>
    </w:p>
    <w:p w:rsidR="0016740D" w:rsidRPr="00DA4429" w:rsidRDefault="0016740D" w:rsidP="00770592">
      <w:pPr>
        <w:suppressAutoHyphens w:val="0"/>
        <w:spacing w:after="0"/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</w:pPr>
    </w:p>
    <w:p w:rsidR="0016740D" w:rsidRDefault="0016740D" w:rsidP="00770592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Відповідно до частини першої статті 29 Регламенту Київради, затвердженого рішенням Київради від 07.07.2016 № 579/579, направляємо Вам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рішення Київської міської ради «Про внесення змін до рішення Київської міської ради «Про заходи щодо впорядкування тютюнокуріння в місті Києві» від 18 вересня 2008 року № 246/246» для забезпечення його реєстрації та розгляду в установленому порядку. </w:t>
      </w:r>
    </w:p>
    <w:p w:rsidR="0027236F" w:rsidRPr="0027236F" w:rsidRDefault="0027236F" w:rsidP="00770592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Текст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рішення у паперовому вигляді відповідає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в електронному вигляді на </w:t>
      </w:r>
      <w:r>
        <w:rPr>
          <w:rFonts w:ascii="Times New Roman" w:eastAsia="Times New Roman" w:hAnsi="Times New Roman"/>
          <w:color w:val="auto"/>
          <w:sz w:val="28"/>
          <w:szCs w:val="28"/>
          <w:lang w:val="en-US" w:eastAsia="uk-UA"/>
        </w:rPr>
        <w:t>USB</w:t>
      </w:r>
      <w:r w:rsidRPr="0027236F">
        <w:rPr>
          <w:rFonts w:ascii="Times New Roman" w:eastAsia="Times New Roman" w:hAnsi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носії.</w:t>
      </w:r>
    </w:p>
    <w:p w:rsidR="0016740D" w:rsidRPr="00DA4429" w:rsidRDefault="0016740D" w:rsidP="00770592">
      <w:pPr>
        <w:tabs>
          <w:tab w:val="left" w:pos="900"/>
        </w:tabs>
        <w:suppressAutoHyphens w:val="0"/>
        <w:spacing w:after="0"/>
        <w:contextualSpacing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ab/>
      </w:r>
    </w:p>
    <w:p w:rsidR="0016740D" w:rsidRPr="00DA4429" w:rsidRDefault="00DA4429" w:rsidP="00770592">
      <w:pPr>
        <w:tabs>
          <w:tab w:val="left" w:pos="900"/>
        </w:tabs>
        <w:suppressAutoHyphens w:val="0"/>
        <w:spacing w:after="0"/>
        <w:contextualSpacing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ab/>
      </w:r>
      <w:r w:rsidR="0016740D" w:rsidRPr="00DA4429"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>Додаток:</w:t>
      </w:r>
      <w:r w:rsidR="001730D0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1730D0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проє</w:t>
      </w:r>
      <w:r w:rsidR="0016740D" w:rsidRPr="00DA4429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кт</w:t>
      </w:r>
      <w:proofErr w:type="spellEnd"/>
      <w:r w:rsidR="0016740D" w:rsidRPr="00DA4429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 рішення з пояснювальною записко</w:t>
      </w:r>
      <w:r w:rsidR="00B217BC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ю та порівняльною таблицею на 10</w:t>
      </w:r>
      <w:r w:rsidR="0016740D" w:rsidRPr="00DA4429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16740D" w:rsidRPr="00DA4429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арк</w:t>
      </w:r>
      <w:proofErr w:type="spellEnd"/>
      <w:r w:rsidR="0016740D" w:rsidRPr="00DA4429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.</w:t>
      </w:r>
      <w:r w:rsidR="001730D0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.</w:t>
      </w:r>
      <w:r w:rsidR="0016740D" w:rsidRPr="00DA4429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 </w:t>
      </w:r>
    </w:p>
    <w:p w:rsidR="0016740D" w:rsidRPr="00DA4429" w:rsidRDefault="0016740D" w:rsidP="001730D0">
      <w:pPr>
        <w:suppressAutoHyphens w:val="0"/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16740D" w:rsidRPr="00DA4429" w:rsidRDefault="0016740D" w:rsidP="00770592">
      <w:pPr>
        <w:suppressAutoHyphens w:val="0"/>
        <w:spacing w:after="0"/>
        <w:ind w:firstLine="426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16740D" w:rsidRPr="00DA4429" w:rsidRDefault="0016740D" w:rsidP="00770592">
      <w:pPr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З повагою,</w:t>
      </w:r>
    </w:p>
    <w:p w:rsidR="0016740D" w:rsidRPr="00DA4429" w:rsidRDefault="0016740D" w:rsidP="00770592">
      <w:pPr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депутат Київської міської ради                                          Ярослав ФЕДОРЕНКО</w:t>
      </w:r>
    </w:p>
    <w:p w:rsidR="0016740D" w:rsidRDefault="0016740D" w:rsidP="00770592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16740D" w:rsidRDefault="0016740D" w:rsidP="00770592">
      <w:pPr>
        <w:spacing w:after="0"/>
        <w:contextualSpacing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Вик</w:t>
      </w:r>
      <w:proofErr w:type="spellEnd"/>
      <w:r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. Владислав Чумак</w:t>
      </w:r>
    </w:p>
    <w:p w:rsidR="0016740D" w:rsidRDefault="0016740D" w:rsidP="00770592">
      <w:pPr>
        <w:spacing w:after="0"/>
        <w:contextualSpacing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(093) 678-10-35</w:t>
      </w:r>
    </w:p>
    <w:p w:rsidR="00052D4E" w:rsidRPr="00202916" w:rsidRDefault="00052D4E" w:rsidP="004E729E">
      <w:pPr>
        <w:spacing w:after="0" w:line="240" w:lineRule="auto"/>
        <w:ind w:firstLine="567"/>
        <w:contextualSpacing/>
        <w:jc w:val="both"/>
        <w:rPr>
          <w:color w:val="auto"/>
          <w:lang w:val="uk-UA"/>
        </w:rPr>
      </w:pPr>
    </w:p>
    <w:sectPr w:rsidR="00052D4E" w:rsidRPr="00202916" w:rsidSect="004E729E">
      <w:pgSz w:w="11906" w:h="16838"/>
      <w:pgMar w:top="568" w:right="1133" w:bottom="850" w:left="1417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77DC"/>
    <w:multiLevelType w:val="multilevel"/>
    <w:tmpl w:val="FB92C7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AA45C3"/>
    <w:multiLevelType w:val="hybridMultilevel"/>
    <w:tmpl w:val="23F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A8"/>
    <w:rsid w:val="00052D4E"/>
    <w:rsid w:val="00063A5A"/>
    <w:rsid w:val="00071142"/>
    <w:rsid w:val="000F0EA1"/>
    <w:rsid w:val="0016740D"/>
    <w:rsid w:val="001730D0"/>
    <w:rsid w:val="001D003B"/>
    <w:rsid w:val="001D696A"/>
    <w:rsid w:val="00201116"/>
    <w:rsid w:val="00202916"/>
    <w:rsid w:val="00220731"/>
    <w:rsid w:val="002464A8"/>
    <w:rsid w:val="0027236F"/>
    <w:rsid w:val="0028225A"/>
    <w:rsid w:val="00297135"/>
    <w:rsid w:val="002B7473"/>
    <w:rsid w:val="00305B8C"/>
    <w:rsid w:val="0037394A"/>
    <w:rsid w:val="00373A22"/>
    <w:rsid w:val="0037462F"/>
    <w:rsid w:val="003A3AC5"/>
    <w:rsid w:val="003C41E3"/>
    <w:rsid w:val="003D3694"/>
    <w:rsid w:val="004034E8"/>
    <w:rsid w:val="00411F1A"/>
    <w:rsid w:val="004817DA"/>
    <w:rsid w:val="00496B3C"/>
    <w:rsid w:val="004E729E"/>
    <w:rsid w:val="00504D49"/>
    <w:rsid w:val="0054323E"/>
    <w:rsid w:val="00565A7F"/>
    <w:rsid w:val="005837DC"/>
    <w:rsid w:val="006452E9"/>
    <w:rsid w:val="006605BD"/>
    <w:rsid w:val="006A0118"/>
    <w:rsid w:val="006D77CE"/>
    <w:rsid w:val="007224C2"/>
    <w:rsid w:val="00770592"/>
    <w:rsid w:val="007A59BD"/>
    <w:rsid w:val="007B54ED"/>
    <w:rsid w:val="007C0FAB"/>
    <w:rsid w:val="007D2FA5"/>
    <w:rsid w:val="007D533C"/>
    <w:rsid w:val="00814F74"/>
    <w:rsid w:val="008834B7"/>
    <w:rsid w:val="0089478C"/>
    <w:rsid w:val="008D41EB"/>
    <w:rsid w:val="008E2492"/>
    <w:rsid w:val="00987BFB"/>
    <w:rsid w:val="009D47B6"/>
    <w:rsid w:val="009F5C51"/>
    <w:rsid w:val="00A16466"/>
    <w:rsid w:val="00AE4564"/>
    <w:rsid w:val="00B04213"/>
    <w:rsid w:val="00B165E9"/>
    <w:rsid w:val="00B217BC"/>
    <w:rsid w:val="00B434B7"/>
    <w:rsid w:val="00B63C43"/>
    <w:rsid w:val="00B73459"/>
    <w:rsid w:val="00BD5CF9"/>
    <w:rsid w:val="00C25207"/>
    <w:rsid w:val="00C32C16"/>
    <w:rsid w:val="00C56AC1"/>
    <w:rsid w:val="00C71488"/>
    <w:rsid w:val="00D04BA4"/>
    <w:rsid w:val="00D50154"/>
    <w:rsid w:val="00DA4429"/>
    <w:rsid w:val="00DB1AA5"/>
    <w:rsid w:val="00DB3D15"/>
    <w:rsid w:val="00DC08C5"/>
    <w:rsid w:val="00E05BD0"/>
    <w:rsid w:val="00E35FA4"/>
    <w:rsid w:val="00E55E44"/>
    <w:rsid w:val="00EB233D"/>
    <w:rsid w:val="00F21434"/>
    <w:rsid w:val="00F63B67"/>
    <w:rsid w:val="00FA314C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1F53"/>
  <w15:chartTrackingRefBased/>
  <w15:docId w15:val="{7AC63980-C2EA-41F7-A2D7-F4E8E39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A8"/>
    <w:pPr>
      <w:suppressAutoHyphens/>
      <w:spacing w:after="200" w:line="276" w:lineRule="auto"/>
    </w:pPr>
    <w:rPr>
      <w:rFonts w:cs="Times New Roman"/>
      <w:color w:val="00000A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4A8"/>
  </w:style>
  <w:style w:type="character" w:customStyle="1" w:styleId="-">
    <w:name w:val="Интернет-ссылка"/>
    <w:basedOn w:val="a0"/>
    <w:uiPriority w:val="99"/>
    <w:semiHidden/>
    <w:unhideWhenUsed/>
    <w:rsid w:val="002464A8"/>
    <w:rPr>
      <w:color w:val="0000FF"/>
      <w:u w:val="single"/>
    </w:rPr>
  </w:style>
  <w:style w:type="character" w:styleId="a3">
    <w:name w:val="Strong"/>
    <w:basedOn w:val="a0"/>
    <w:uiPriority w:val="22"/>
    <w:qFormat/>
    <w:rsid w:val="002464A8"/>
    <w:rPr>
      <w:b/>
      <w:bCs/>
    </w:rPr>
  </w:style>
  <w:style w:type="paragraph" w:styleId="a4">
    <w:name w:val="Normal (Web)"/>
    <w:basedOn w:val="a"/>
    <w:uiPriority w:val="99"/>
    <w:rsid w:val="002464A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2464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C0FAB"/>
    <w:rPr>
      <w:rFonts w:ascii="Segoe UI" w:hAnsi="Segoe UI" w:cs="Segoe UI"/>
      <w:color w:val="00000A"/>
      <w:sz w:val="18"/>
      <w:szCs w:val="18"/>
      <w:lang w:val="ru-RU" w:eastAsia="ar-SA"/>
    </w:rPr>
  </w:style>
  <w:style w:type="character" w:styleId="a8">
    <w:name w:val="Hyperlink"/>
    <w:basedOn w:val="a0"/>
    <w:uiPriority w:val="99"/>
    <w:semiHidden/>
    <w:unhideWhenUsed/>
    <w:rsid w:val="00220731"/>
    <w:rPr>
      <w:color w:val="0000FF"/>
      <w:u w:val="single"/>
    </w:rPr>
  </w:style>
  <w:style w:type="character" w:customStyle="1" w:styleId="apple-tab-span">
    <w:name w:val="apple-tab-span"/>
    <w:basedOn w:val="a0"/>
    <w:rsid w:val="00220731"/>
  </w:style>
  <w:style w:type="paragraph" w:styleId="a9">
    <w:name w:val="Title"/>
    <w:basedOn w:val="a"/>
    <w:link w:val="aa"/>
    <w:uiPriority w:val="1"/>
    <w:qFormat/>
    <w:rsid w:val="0016740D"/>
    <w:pPr>
      <w:widowControl w:val="0"/>
      <w:suppressAutoHyphens w:val="0"/>
      <w:autoSpaceDE w:val="0"/>
      <w:autoSpaceDN w:val="0"/>
      <w:spacing w:after="0" w:line="833" w:lineRule="exact"/>
      <w:ind w:left="2457" w:right="2508"/>
      <w:jc w:val="center"/>
    </w:pPr>
    <w:rPr>
      <w:rFonts w:ascii="Calibri" w:eastAsia="Calibri" w:hAnsi="Calibri" w:cs="Calibri"/>
      <w:color w:val="auto"/>
      <w:sz w:val="72"/>
      <w:szCs w:val="72"/>
      <w:lang w:val="uk-UA" w:eastAsia="en-US"/>
    </w:rPr>
  </w:style>
  <w:style w:type="character" w:customStyle="1" w:styleId="aa">
    <w:name w:val="Назва Знак"/>
    <w:basedOn w:val="a0"/>
    <w:link w:val="a9"/>
    <w:uiPriority w:val="1"/>
    <w:rsid w:val="0016740D"/>
    <w:rPr>
      <w:rFonts w:ascii="Calibri" w:eastAsia="Calibri" w:hAnsi="Calibri" w:cs="Calibri"/>
      <w:sz w:val="72"/>
      <w:szCs w:val="72"/>
    </w:rPr>
  </w:style>
  <w:style w:type="paragraph" w:styleId="ab">
    <w:name w:val="Body Text"/>
    <w:basedOn w:val="a"/>
    <w:link w:val="ac"/>
    <w:uiPriority w:val="1"/>
    <w:semiHidden/>
    <w:unhideWhenUsed/>
    <w:qFormat/>
    <w:rsid w:val="0016740D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8"/>
      <w:szCs w:val="28"/>
      <w:lang w:val="uk-UA" w:eastAsia="en-US"/>
    </w:rPr>
  </w:style>
  <w:style w:type="character" w:customStyle="1" w:styleId="ac">
    <w:name w:val="Основний текст Знак"/>
    <w:basedOn w:val="a0"/>
    <w:link w:val="ab"/>
    <w:uiPriority w:val="1"/>
    <w:semiHidden/>
    <w:rsid w:val="0016740D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71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2624</Words>
  <Characters>14960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 Daryna</dc:creator>
  <cp:keywords/>
  <dc:description/>
  <cp:lastModifiedBy>Пользователь</cp:lastModifiedBy>
  <cp:revision>29</cp:revision>
  <cp:lastPrinted>2022-09-23T09:33:00Z</cp:lastPrinted>
  <dcterms:created xsi:type="dcterms:W3CDTF">2021-01-20T08:42:00Z</dcterms:created>
  <dcterms:modified xsi:type="dcterms:W3CDTF">2022-09-23T09:40:00Z</dcterms:modified>
</cp:coreProperties>
</file>