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CAB3E5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201632903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201632903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ПЗН-46882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21.11.2022</w:t>
      </w:r>
    </w:p>
    <w:p w14:paraId="279C27D0" w14:textId="4E001BE3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8B1">
        <w:rPr>
          <w:rFonts w:ascii="Times New Roman" w:hAnsi="Times New Roman" w:cs="Times New Roman"/>
          <w:b/>
          <w:sz w:val="24"/>
          <w:szCs w:val="24"/>
        </w:rPr>
        <w:t>к</w:t>
      </w:r>
      <w:r w:rsidR="004D4053" w:rsidRPr="00672CA7">
        <w:rPr>
          <w:rFonts w:ascii="Times New Roman" w:hAnsi="Times New Roman" w:cs="Times New Roman"/>
          <w:b/>
          <w:sz w:val="24"/>
          <w:szCs w:val="24"/>
        </w:rPr>
        <w:t>омунальн</w:t>
      </w:r>
      <w:r w:rsidR="00672CA7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672CA7">
        <w:rPr>
          <w:rFonts w:ascii="Times New Roman" w:hAnsi="Times New Roman" w:cs="Times New Roman"/>
          <w:b/>
          <w:sz w:val="24"/>
          <w:szCs w:val="24"/>
        </w:rPr>
        <w:t xml:space="preserve"> підприємств</w:t>
      </w:r>
      <w:r w:rsidR="00672CA7">
        <w:rPr>
          <w:rFonts w:ascii="Times New Roman" w:hAnsi="Times New Roman" w:cs="Times New Roman"/>
          <w:b/>
          <w:sz w:val="24"/>
          <w:szCs w:val="24"/>
        </w:rPr>
        <w:t>у</w:t>
      </w:r>
      <w:r w:rsidR="004D4053" w:rsidRPr="00672CA7">
        <w:rPr>
          <w:rFonts w:ascii="Times New Roman" w:hAnsi="Times New Roman" w:cs="Times New Roman"/>
          <w:b/>
          <w:sz w:val="24"/>
          <w:szCs w:val="24"/>
        </w:rPr>
        <w:t xml:space="preserve"> «Київтранспарксервіс»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>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672CA7" w:rsidRPr="00672CA7">
        <w:rPr>
          <w:rFonts w:ascii="Times New Roman" w:hAnsi="Times New Roman" w:cs="Times New Roman"/>
          <w:b/>
          <w:sz w:val="24"/>
          <w:szCs w:val="24"/>
        </w:rPr>
        <w:t>для розміщення об’єктів транспортної, енергетичної інфраструктури та об’єктів дорожнього господарства (крім об’єктів дорожнього сервісу)</w:t>
      </w:r>
      <w:r w:rsidR="00F74B8B" w:rsidRPr="00F7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площ</w:t>
      </w:r>
      <w:r w:rsidR="00672CA7">
        <w:rPr>
          <w:rFonts w:ascii="Times New Roman" w:hAnsi="Times New Roman" w:cs="Times New Roman"/>
          <w:b/>
          <w:sz w:val="24"/>
          <w:szCs w:val="24"/>
        </w:rPr>
        <w:t>і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Михайлівськ</w:t>
      </w:r>
      <w:r w:rsidR="00672CA7">
        <w:rPr>
          <w:rFonts w:ascii="Times New Roman" w:hAnsi="Times New Roman" w:cs="Times New Roman"/>
          <w:b/>
          <w:sz w:val="24"/>
          <w:szCs w:val="24"/>
        </w:rPr>
        <w:t>ій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Шевченківському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1CB4F848" w:rsidR="003C0A13" w:rsidRPr="00E82E45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672CA7">
        <w:trPr>
          <w:cantSplit/>
          <w:trHeight w:hRule="exact" w:val="587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Комунальне підприємство «Київтранспарксервіс»</w:t>
            </w:r>
          </w:p>
        </w:tc>
      </w:tr>
      <w:tr w:rsidR="003C0A13" w:rsidRPr="00672CA7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3E2C969B" w14:textId="74F2E593" w:rsidR="00672CA7" w:rsidRPr="00672CA7" w:rsidRDefault="0023488D" w:rsidP="00672CA7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hyperlink r:id="rId10" w:history="1">
              <w:r w:rsidR="00672CA7" w:rsidRPr="00672CA7">
                <w:rPr>
                  <w:i/>
                  <w:iCs/>
                  <w:sz w:val="24"/>
                  <w:szCs w:val="24"/>
                </w:rPr>
                <w:t>КИЇВСЬКА МІСЬКА РАДА</w:t>
              </w:r>
            </w:hyperlink>
          </w:p>
          <w:p w14:paraId="1FC56FBC" w14:textId="60AE8432" w:rsidR="003C0A13" w:rsidRPr="00672CA7" w:rsidRDefault="00672CA7" w:rsidP="00672CA7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місто Київ, вул.</w:t>
            </w:r>
            <w:r w:rsidRPr="00672CA7">
              <w:rPr>
                <w:i/>
                <w:iCs/>
                <w:sz w:val="24"/>
                <w:szCs w:val="24"/>
              </w:rPr>
              <w:t xml:space="preserve"> Х</w:t>
            </w:r>
            <w:r>
              <w:rPr>
                <w:i/>
                <w:iCs/>
                <w:sz w:val="24"/>
                <w:szCs w:val="24"/>
              </w:rPr>
              <w:t>рещатик, 36</w:t>
            </w:r>
          </w:p>
        </w:tc>
      </w:tr>
      <w:tr w:rsidR="005660BA" w:rsidRPr="00672CA7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672CA7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672CA7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15.11.2022 № 201632903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56E51408" w14:textId="77777777" w:rsidR="00E82E45" w:rsidRPr="00E82E45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672CA7">
        <w:rPr>
          <w:b/>
          <w:bCs/>
          <w:sz w:val="24"/>
          <w:szCs w:val="24"/>
        </w:rPr>
        <w:t xml:space="preserve">(обліковий код </w:t>
      </w:r>
      <w:r w:rsidR="008F1609" w:rsidRPr="005660BA">
        <w:rPr>
          <w:b/>
          <w:bCs/>
          <w:sz w:val="24"/>
          <w:szCs w:val="24"/>
        </w:rPr>
        <w:t>91:018:0004</w:t>
      </w:r>
      <w:r w:rsidR="00672CA7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Шевченківський, площа Михайлівська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0,23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7326D7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7326D7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7326D7">
              <w:rPr>
                <w:rFonts w:ascii="Times New Roman" w:hAnsi="Times New Roman" w:cs="Times New Roman"/>
              </w:rPr>
              <w:t>Вид використання</w:t>
            </w:r>
            <w:r w:rsidRPr="007326D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633E56F3" w:rsidR="00C022FD" w:rsidRPr="007326D7" w:rsidRDefault="00672CA7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7326D7">
              <w:rPr>
                <w:rFonts w:ascii="Times New Roman" w:hAnsi="Times New Roman"/>
                <w:i/>
              </w:rPr>
              <w:t>для розміщення об’єктів транспортної, енергетичної інфраструктури та об’єктів дорожнього господарства (крім об’єктів дорожнього сервісу)</w:t>
            </w:r>
          </w:p>
        </w:tc>
      </w:tr>
    </w:tbl>
    <w:p w14:paraId="54E578E1" w14:textId="77777777" w:rsidR="00C022FD" w:rsidRPr="007326D7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45735F60" w:rsidR="006C75C6" w:rsidRPr="007326D7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0F24372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AC75EF" w:rsidRPr="00265722">
        <w:rPr>
          <w:sz w:val="24"/>
          <w:szCs w:val="24"/>
        </w:rPr>
        <w:t>Київської міської ради</w:t>
      </w:r>
      <w:r w:rsidR="00AC75EF" w:rsidRPr="00726D11">
        <w:rPr>
          <w:sz w:val="24"/>
          <w:szCs w:val="24"/>
        </w:rPr>
        <w:t xml:space="preserve">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149F41CD" w:rsidR="00D437FF" w:rsidRPr="007326D7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7326D7">
        <w:trPr>
          <w:cantSplit/>
          <w:trHeight w:val="55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8E2B911" w:rsidR="002B31E8" w:rsidRPr="0041184B" w:rsidRDefault="00E82E45" w:rsidP="004473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82E45">
              <w:rPr>
                <w:rFonts w:eastAsia="Courier New"/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                              від 28.03.2002 № 370/1804, земельна ділянка за функціональним призначенням належить до території вулиць та доріг.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3093B49" w14:textId="77777777" w:rsidR="00E82E45" w:rsidRPr="00E82E45" w:rsidRDefault="00E82E45" w:rsidP="00E82E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82E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Центрального історичного ареалу м. Києва, в архітектурній охоронній зоні, на території пам’ятки археології національного значення «Культурний шар «Міста Ярослава» (постанова Кабінету Міністрів України від 03.09.2009 № 928, охоронний № 260028-Н), на території буферної зони об’єкту Всесвітньої спадщини ЮНЕСКО «Київ: Собор Святої Софії і прилеглі монастирські споруди, Києво-Печерська лавра» (наказ Міністерства культури, молоді та спорту України від 31.01.2020 №412).</w:t>
            </w:r>
          </w:p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7326D7">
      <w:pPr>
        <w:pStyle w:val="1"/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7326D7">
      <w:pPr>
        <w:pStyle w:val="1"/>
        <w:shd w:val="clear" w:color="auto" w:fill="auto"/>
        <w:tabs>
          <w:tab w:val="left" w:pos="0"/>
        </w:tabs>
        <w:spacing w:after="0"/>
        <w:ind w:firstLine="284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1"/>
      <w:footerReference w:type="even" r:id="rId12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672CA7">
      <w:rPr>
        <w:rFonts w:ascii="Times New Roman" w:hAnsi="Times New Roman" w:cs="Times New Roman"/>
        <w:i w:val="0"/>
        <w:sz w:val="12"/>
        <w:szCs w:val="12"/>
        <w:lang w:val="ru-RU"/>
      </w:rPr>
      <w:t>ПЗН-46882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672CA7">
      <w:rPr>
        <w:rFonts w:ascii="Times New Roman" w:hAnsi="Times New Roman" w:cs="Times New Roman"/>
        <w:bCs/>
        <w:i w:val="0"/>
        <w:sz w:val="12"/>
        <w:szCs w:val="12"/>
        <w:lang w:val="ru-RU"/>
      </w:rPr>
      <w:t>21.11.2022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201632903</w:t>
    </w:r>
  </w:p>
  <w:p w14:paraId="28309D3E" w14:textId="12738B84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488D" w:rsidRPr="0023488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3488D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72CA7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326D7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C75EF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568B1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82E45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74B8B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228831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3897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Філіпенко Наталія Анатоліївна</dc:creator>
  <cp:lastModifiedBy>Корнійчук Олеся Михайлівна</cp:lastModifiedBy>
  <cp:revision>2</cp:revision>
  <cp:lastPrinted>2022-12-19T10:42:00Z</cp:lastPrinted>
  <dcterms:created xsi:type="dcterms:W3CDTF">2023-01-27T11:45:00Z</dcterms:created>
  <dcterms:modified xsi:type="dcterms:W3CDTF">2023-01-27T11:45:00Z</dcterms:modified>
</cp:coreProperties>
</file>