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370541699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370541699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38C291CF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88684C">
        <w:rPr>
          <w:b/>
          <w:bCs/>
          <w:sz w:val="24"/>
          <w:szCs w:val="24"/>
          <w:lang w:val="ru-RU"/>
        </w:rPr>
        <w:t>-66530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88684C">
        <w:rPr>
          <w:b/>
          <w:bCs/>
          <w:sz w:val="24"/>
          <w:szCs w:val="24"/>
          <w:lang w:val="ru-RU"/>
        </w:rPr>
        <w:t>14.06.2024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437C735A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88684C" w:rsidRPr="0088684C">
        <w:rPr>
          <w:b/>
          <w:i/>
          <w:sz w:val="24"/>
          <w:szCs w:val="24"/>
        </w:rPr>
        <w:t xml:space="preserve">поновлення </w:t>
      </w:r>
      <w:r w:rsidR="0088684C" w:rsidRPr="0088684C">
        <w:rPr>
          <w:b/>
          <w:i/>
          <w:sz w:val="24"/>
          <w:szCs w:val="24"/>
          <w:lang w:val="ru-RU"/>
        </w:rPr>
        <w:t>товариств</w:t>
      </w:r>
      <w:r w:rsidR="0088684C" w:rsidRPr="0088684C">
        <w:rPr>
          <w:b/>
          <w:i/>
          <w:sz w:val="24"/>
          <w:szCs w:val="24"/>
        </w:rPr>
        <w:t>у</w:t>
      </w:r>
      <w:r w:rsidR="0088684C" w:rsidRPr="0088684C">
        <w:rPr>
          <w:b/>
          <w:i/>
          <w:sz w:val="24"/>
          <w:szCs w:val="24"/>
          <w:lang w:val="ru-RU"/>
        </w:rPr>
        <w:t xml:space="preserve"> з обмеженою відповідальністю «ФРУНЗЕ 69»</w:t>
      </w:r>
      <w:r w:rsidR="0088684C" w:rsidRPr="0088684C">
        <w:rPr>
          <w:b/>
          <w:i/>
          <w:sz w:val="24"/>
          <w:szCs w:val="24"/>
        </w:rPr>
        <w:t xml:space="preserve"> договору оренди земельної ділянки від 15 травня 2014 року № 174</w:t>
      </w:r>
      <w:r w:rsidR="0088684C" w:rsidRPr="0088684C">
        <w:rPr>
          <w:b/>
          <w:i/>
          <w:sz w:val="24"/>
          <w:szCs w:val="24"/>
          <w:lang w:val="ru-RU"/>
        </w:rPr>
        <w:t xml:space="preserve"> (</w:t>
      </w:r>
      <w:r w:rsidR="0088684C" w:rsidRPr="0088684C">
        <w:rPr>
          <w:b/>
          <w:i/>
          <w:sz w:val="24"/>
          <w:szCs w:val="24"/>
        </w:rPr>
        <w:t>зі змінами</w:t>
      </w:r>
      <w:r w:rsidR="0088684C" w:rsidRPr="0088684C">
        <w:rPr>
          <w:b/>
          <w:i/>
          <w:sz w:val="24"/>
          <w:szCs w:val="24"/>
          <w:lang w:val="ru-RU"/>
        </w:rPr>
        <w:t>)</w:t>
      </w:r>
      <w:r w:rsidR="0088684C" w:rsidRPr="0088684C">
        <w:rPr>
          <w:b/>
          <w:i/>
          <w:sz w:val="24"/>
          <w:szCs w:val="24"/>
        </w:rPr>
        <w:t xml:space="preserve"> для обслуговування та експлуатації офісної будівлі на вул. Кирилівська, 69 (літ. В) </w:t>
      </w:r>
      <w:r w:rsidR="0088684C">
        <w:rPr>
          <w:b/>
          <w:i/>
          <w:sz w:val="24"/>
          <w:szCs w:val="24"/>
        </w:rPr>
        <w:t xml:space="preserve">                                               </w:t>
      </w:r>
      <w:r w:rsidR="0088684C" w:rsidRPr="0088684C">
        <w:rPr>
          <w:b/>
          <w:i/>
          <w:sz w:val="24"/>
          <w:szCs w:val="24"/>
        </w:rPr>
        <w:t>у Подільському районі м. Києва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54382F7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«ФРУНЗЕ 69»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88684C">
              <w:rPr>
                <w:i/>
                <w:sz w:val="24"/>
                <w:szCs w:val="24"/>
              </w:rPr>
              <w:t>ЄДРПОУ</w:t>
            </w:r>
            <w:r w:rsidR="002B5778" w:rsidRPr="0088684C">
              <w:rPr>
                <w:i/>
                <w:sz w:val="24"/>
                <w:szCs w:val="24"/>
              </w:rPr>
              <w:t xml:space="preserve"> </w:t>
            </w:r>
            <w:r w:rsidR="000B1E6A" w:rsidRPr="0088684C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43043477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88684C">
              <w:rPr>
                <w:i/>
                <w:color w:val="auto"/>
                <w:sz w:val="24"/>
                <w:szCs w:val="24"/>
                <w:lang w:bidi="ar-SA"/>
              </w:rPr>
              <w:t xml:space="preserve"> (далі – Товариство) 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88684C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4A041E76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37FDA891" w14:textId="1C851565" w:rsidR="0088684C" w:rsidRPr="0088684C" w:rsidRDefault="0088684C" w:rsidP="0088684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8684C">
              <w:rPr>
                <w:i/>
                <w:sz w:val="24"/>
                <w:szCs w:val="24"/>
              </w:rPr>
              <w:t xml:space="preserve">ТОВАРИСТВО З ОБМЕЖЕНОЮ ВІДПОВІДАЛЬНІСТЮ </w:t>
            </w:r>
            <w:r>
              <w:rPr>
                <w:i/>
                <w:sz w:val="24"/>
                <w:szCs w:val="24"/>
              </w:rPr>
              <w:t>«</w:t>
            </w:r>
            <w:r w:rsidRPr="0088684C">
              <w:rPr>
                <w:i/>
                <w:sz w:val="24"/>
                <w:szCs w:val="24"/>
              </w:rPr>
              <w:t>ВІ ГРУП ЮА</w:t>
            </w:r>
            <w:r>
              <w:rPr>
                <w:i/>
                <w:sz w:val="24"/>
                <w:szCs w:val="24"/>
              </w:rPr>
              <w:t>»</w:t>
            </w:r>
          </w:p>
          <w:p w14:paraId="2A079A94" w14:textId="693040D7" w:rsidR="0088684C" w:rsidRPr="0088684C" w:rsidRDefault="0088684C" w:rsidP="0088684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8684C">
              <w:rPr>
                <w:i/>
                <w:sz w:val="24"/>
                <w:szCs w:val="24"/>
              </w:rPr>
              <w:t>Код ЄДРПОУ засновника: 42820390</w:t>
            </w:r>
          </w:p>
          <w:p w14:paraId="2910A955" w14:textId="287F2D62" w:rsidR="0088684C" w:rsidRPr="0088684C" w:rsidRDefault="0088684C" w:rsidP="0088684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8684C">
              <w:rPr>
                <w:i/>
                <w:sz w:val="24"/>
                <w:szCs w:val="24"/>
              </w:rPr>
              <w:t>Адреса засновника: Україна, м</w:t>
            </w:r>
            <w:r>
              <w:rPr>
                <w:i/>
                <w:sz w:val="24"/>
                <w:szCs w:val="24"/>
              </w:rPr>
              <w:t>.</w:t>
            </w:r>
            <w:r w:rsidRPr="0088684C">
              <w:rPr>
                <w:i/>
                <w:sz w:val="24"/>
                <w:szCs w:val="24"/>
              </w:rPr>
              <w:t xml:space="preserve"> Київ, вул</w:t>
            </w:r>
            <w:r>
              <w:rPr>
                <w:i/>
                <w:sz w:val="24"/>
                <w:szCs w:val="24"/>
              </w:rPr>
              <w:t>.</w:t>
            </w:r>
            <w:r w:rsidRPr="0088684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</w:t>
            </w:r>
            <w:r w:rsidRPr="0088684C">
              <w:rPr>
                <w:i/>
                <w:sz w:val="24"/>
                <w:szCs w:val="24"/>
              </w:rPr>
              <w:t xml:space="preserve">нтоновича, </w:t>
            </w:r>
          </w:p>
          <w:p w14:paraId="5EB77FDD" w14:textId="31FCC55F" w:rsidR="0088684C" w:rsidRPr="0088684C" w:rsidRDefault="0088684C" w:rsidP="0088684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8684C">
              <w:rPr>
                <w:i/>
                <w:sz w:val="24"/>
                <w:szCs w:val="24"/>
              </w:rPr>
              <w:t>Розмір внеску до статутного фонду: 12 685 214,38 грн</w:t>
            </w:r>
          </w:p>
          <w:p w14:paraId="6643096C" w14:textId="492C8CE7" w:rsidR="00E94376" w:rsidRPr="00123E08" w:rsidRDefault="0088684C" w:rsidP="0088684C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8684C">
              <w:rPr>
                <w:i/>
                <w:sz w:val="24"/>
                <w:szCs w:val="24"/>
              </w:rPr>
              <w:t>Частка (%): 100,00</w:t>
            </w:r>
          </w:p>
        </w:tc>
      </w:tr>
      <w:tr w:rsidR="00E94376" w:rsidRPr="00037B84" w14:paraId="24430AF2" w14:textId="77777777" w:rsidTr="0088684C">
        <w:trPr>
          <w:cantSplit/>
          <w:trHeight w:val="348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874CA8A" w14:textId="55795058" w:rsidR="0088684C" w:rsidRPr="0088684C" w:rsidRDefault="0088684C" w:rsidP="0088684C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ДУШКА РІЧАРД</w:t>
            </w:r>
            <w:r w:rsidRPr="0088684C">
              <w:rPr>
                <w:i/>
                <w:iCs/>
                <w:sz w:val="24"/>
                <w:szCs w:val="24"/>
                <w:lang w:val="ru-RU"/>
              </w:rPr>
              <w:br/>
              <w:t>Словаччина, м</w:t>
            </w:r>
            <w:r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88684C">
              <w:rPr>
                <w:i/>
                <w:iCs/>
                <w:sz w:val="24"/>
                <w:szCs w:val="24"/>
                <w:lang w:val="ru-RU"/>
              </w:rPr>
              <w:t xml:space="preserve"> Братислава, вул</w:t>
            </w:r>
            <w:r>
              <w:rPr>
                <w:i/>
                <w:iCs/>
                <w:sz w:val="24"/>
                <w:szCs w:val="24"/>
                <w:lang w:val="ru-RU"/>
              </w:rPr>
              <w:t>.</w:t>
            </w:r>
            <w:r w:rsidRPr="0088684C">
              <w:rPr>
                <w:i/>
                <w:iCs/>
                <w:sz w:val="24"/>
                <w:szCs w:val="24"/>
                <w:lang w:val="ru-RU"/>
              </w:rPr>
              <w:t xml:space="preserve"> Дорастинецька </w:t>
            </w:r>
          </w:p>
          <w:p w14:paraId="538ABC0A" w14:textId="77777777" w:rsidR="0088684C" w:rsidRPr="0088684C" w:rsidRDefault="0088684C" w:rsidP="0088684C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Тип бенефіціарного володіння: Не прямий вирішальний вплив</w:t>
            </w:r>
          </w:p>
          <w:p w14:paraId="0C5CB669" w14:textId="77777777" w:rsidR="0088684C" w:rsidRPr="0088684C" w:rsidRDefault="0088684C" w:rsidP="0088684C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Відсоток частки статутного капіталу або відсоток права голосу: 50.36</w:t>
            </w:r>
          </w:p>
          <w:p w14:paraId="5BCE8766" w14:textId="59AEA777" w:rsidR="0088684C" w:rsidRPr="0088684C" w:rsidRDefault="0088684C" w:rsidP="0088684C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ДУШКА ЮРАЙ</w:t>
            </w:r>
            <w:r w:rsidRPr="0088684C">
              <w:rPr>
                <w:i/>
                <w:iCs/>
                <w:sz w:val="24"/>
                <w:szCs w:val="24"/>
                <w:lang w:val="ru-RU"/>
              </w:rPr>
              <w:br/>
              <w:t>Словаччина, м. Братислава, вул. Дорастинецька</w:t>
            </w:r>
          </w:p>
          <w:p w14:paraId="1D2D492C" w14:textId="77777777" w:rsidR="0088684C" w:rsidRPr="0088684C" w:rsidRDefault="0088684C" w:rsidP="0088684C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Тип бенефіціарного володіння: Не прямий вирішальний вплив</w:t>
            </w:r>
          </w:p>
          <w:p w14:paraId="1C7A8B69" w14:textId="1611825B" w:rsidR="00E94376" w:rsidRPr="0088684C" w:rsidRDefault="0088684C" w:rsidP="00FF0A55">
            <w:pPr>
              <w:pStyle w:val="a7"/>
              <w:shd w:val="clear" w:color="auto" w:fill="auto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88684C">
              <w:rPr>
                <w:i/>
                <w:iCs/>
                <w:sz w:val="24"/>
                <w:szCs w:val="24"/>
                <w:lang w:val="ru-RU"/>
              </w:rPr>
              <w:t>Відсоток частки статутного капіталу або відсоток права голосу: 49.64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8684C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12.04.2024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370541699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8000000000:85:096:0013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Кирилівська, 69 (літ. В) у Подільському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0,1650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88684C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0B0B65">
              <w:rPr>
                <w:b/>
                <w:i/>
                <w:sz w:val="24"/>
                <w:szCs w:val="24"/>
              </w:rPr>
              <w:t>03.10</w:t>
            </w:r>
            <w:r w:rsidR="005769B6" w:rsidRPr="0088684C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88684C">
              <w:rPr>
                <w:b/>
                <w:i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88684C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88684C">
              <w:rPr>
                <w:b/>
                <w:i/>
                <w:sz w:val="24"/>
                <w:szCs w:val="24"/>
              </w:rPr>
              <w:t>для обслуговування та експлуатації офісної будівлі</w:t>
            </w:r>
            <w:r w:rsidRPr="0088684C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88684C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2289AAB2" w:rsidR="006D7E33" w:rsidRPr="00500F9A" w:rsidRDefault="00500F9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500F9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12 663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00F9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591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Pr="00500F9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14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6676E5C4" w14:textId="77777777" w:rsidR="00F77C4A" w:rsidRPr="00772C24" w:rsidRDefault="00F77C4A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lastRenderedPageBreak/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BB6FADA" w14:textId="2EFE16D5" w:rsidR="00F77C4A" w:rsidRDefault="00056A2A" w:rsidP="00F77C4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F77C4A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0400DC48" w14:textId="30FECE91" w:rsidR="00F77C4A" w:rsidRDefault="00F77C4A" w:rsidP="00F77C4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На земельній ділянці</w:t>
            </w:r>
            <w:r w:rsidR="006D0CC5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D0CC5" w:rsidRPr="006D0CC5">
              <w:rPr>
                <w:b w:val="0"/>
                <w:bCs w:val="0"/>
                <w:i/>
                <w:sz w:val="24"/>
                <w:szCs w:val="24"/>
              </w:rPr>
              <w:t>розміщено будівлю, яка використовується як офісний центр «Словацький дім». Біля будівлі облаштовано парко місця для відвідувачів офісного центру. Межові знаки в натурі (на місцевості) відсутні</w:t>
            </w:r>
            <w:r w:rsidR="006D0CC5">
              <w:rPr>
                <w:b w:val="0"/>
                <w:bCs w:val="0"/>
                <w:i/>
                <w:sz w:val="24"/>
                <w:szCs w:val="24"/>
              </w:rPr>
              <w:t xml:space="preserve"> (акт обстеження земельної ділянки від 15.05.2024 № ДК/111-АО/2024).</w:t>
            </w:r>
          </w:p>
          <w:p w14:paraId="5EB493CF" w14:textId="4E6AF486" w:rsidR="006D0CC5" w:rsidRPr="004006F2" w:rsidRDefault="006D0CC5" w:rsidP="00F77C4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  <w:lang w:val="ru-RU"/>
              </w:rPr>
            </w:pPr>
            <w:r w:rsidRPr="008B0F3F">
              <w:rPr>
                <w:b w:val="0"/>
                <w:bCs w:val="0"/>
                <w:i/>
                <w:sz w:val="24"/>
                <w:szCs w:val="24"/>
              </w:rPr>
              <w:t xml:space="preserve">Відповідно до інформації з Державного реєстру речових прав на нерухоме майно Товариству </w:t>
            </w:r>
            <w:r w:rsidR="008B0F3F" w:rsidRPr="008B0F3F">
              <w:rPr>
                <w:b w:val="0"/>
                <w:bCs w:val="0"/>
                <w:i/>
                <w:sz w:val="24"/>
                <w:szCs w:val="24"/>
              </w:rPr>
              <w:t>на праві приватної власності належить будівля спеціальнодопоміжного обладнання (літ. В) загальною площею 5760,7 кв. м (реєстраційний номер об’єкта нерухомого майна 722157480000, номер відомостей про речове право: 39669874 від 11.12.2020).</w:t>
            </w:r>
          </w:p>
          <w:p w14:paraId="506E57A9" w14:textId="7A597DF8" w:rsidR="00823CCF" w:rsidRPr="00EE137E" w:rsidRDefault="00823CCF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D0CC5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CE2E54B" w:rsidR="00823CCF" w:rsidRPr="00500F9A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  <w:lang w:val="en-US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500F9A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32D24CE2" w:rsidR="00823CCF" w:rsidRPr="00EE137E" w:rsidRDefault="00E5752E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Т</w:t>
            </w:r>
            <w:r w:rsidR="0018193A" w:rsidRPr="00EE137E">
              <w:rPr>
                <w:b w:val="0"/>
                <w:bCs w:val="0"/>
                <w:i/>
                <w:sz w:val="24"/>
                <w:szCs w:val="24"/>
              </w:rPr>
              <w:t>ериторі</w:t>
            </w:r>
            <w:r w:rsidR="004C19CE">
              <w:rPr>
                <w:b w:val="0"/>
                <w:bCs w:val="0"/>
                <w:i/>
                <w:sz w:val="24"/>
                <w:szCs w:val="24"/>
              </w:rPr>
              <w:t>ї вулиць та доріг.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4E700553" w14:textId="20B991D7" w:rsidR="006A19DF" w:rsidRPr="004C19CE" w:rsidRDefault="004C19CE" w:rsidP="004C19CE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C19C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 </w:t>
            </w:r>
          </w:p>
          <w:p w14:paraId="0EC5BAC8" w14:textId="06464019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88684C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88684C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03.10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5F2412" w:rsidRPr="00037B84" w14:paraId="4A024769" w14:textId="77777777" w:rsidTr="00430CA4">
        <w:trPr>
          <w:cantSplit/>
          <w:trHeight w:val="1413"/>
        </w:trPr>
        <w:tc>
          <w:tcPr>
            <w:tcW w:w="2972" w:type="dxa"/>
          </w:tcPr>
          <w:p w14:paraId="297C8E16" w14:textId="2DB14F3C" w:rsidR="005F2412" w:rsidRPr="002F2D3F" w:rsidRDefault="005F241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51387D9" w14:textId="6E4B76EC" w:rsidR="005F2412" w:rsidRDefault="005F2412" w:rsidP="005F24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22.05.2013 № 518/9575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передавалась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довгострокову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оренду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10 років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приватному акціонерному </w:t>
            </w:r>
            <w:r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товариств</w:t>
            </w:r>
            <w:r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у</w:t>
            </w:r>
            <w:r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БАНКОМЗВ’ЯЗОК</w:t>
            </w:r>
            <w:r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»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Pr="0088684C">
              <w:rPr>
                <w:rFonts w:ascii="Times New Roman" w:eastAsia="Times New Roman" w:hAnsi="Times New Roman" w:cs="Times New Roman"/>
                <w:i/>
                <w:color w:val="auto"/>
              </w:rPr>
              <w:t>для обслуговування та експлуатації офісної будівлі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15.05.2014 № 174).</w:t>
            </w:r>
          </w:p>
          <w:p w14:paraId="4694471C" w14:textId="1CC83A2C" w:rsidR="005F2412" w:rsidRDefault="005F2412" w:rsidP="005F241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Рішенням Київської міської ради від 29.02.2024 № 7834/</w:t>
            </w:r>
            <w:r w:rsidR="00733681">
              <w:rPr>
                <w:rFonts w:ascii="Times New Roman" w:eastAsia="Times New Roman" w:hAnsi="Times New Roman" w:cs="Times New Roman"/>
                <w:i/>
                <w:color w:val="auto"/>
              </w:rPr>
              <w:t>7875 внесено зміни у договір оренди</w:t>
            </w:r>
            <w:r w:rsidR="00EC557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EC557F" w:rsidRPr="00EC557F">
              <w:rPr>
                <w:rFonts w:ascii="Times New Roman" w:eastAsia="Times New Roman" w:hAnsi="Times New Roman" w:cs="Times New Roman"/>
                <w:i/>
                <w:color w:val="auto"/>
              </w:rPr>
              <w:t>земельної ділянки від 15.05.2014 № 174</w:t>
            </w:r>
            <w:r w:rsidR="00733681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замінивши сторону у цьому договорі «приватне акціонерне </w:t>
            </w:r>
            <w:r w:rsidR="00733681"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товариств</w:t>
            </w:r>
            <w:r w:rsidR="00733681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о</w:t>
            </w:r>
            <w:r w:rsidR="00733681"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«</w:t>
            </w:r>
            <w:r w:rsidR="00733681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БАНКОМЗВ’ЯЗОК</w:t>
            </w:r>
            <w:r w:rsidR="00733681" w:rsidRPr="0088684C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»</w:t>
            </w:r>
            <w:r w:rsidR="00733681"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 на сторону «Товариство з обмеженою відповідальністю «Фрунзе 69» (договір про внесення змін до договору оренди земельної ділянки від 04.04.2024</w:t>
            </w:r>
            <w:r w:rsidR="004006F2"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 № 261</w:t>
            </w:r>
            <w:r w:rsidR="00733681">
              <w:rPr>
                <w:rFonts w:ascii="Times New Roman" w:hAnsi="Times New Roman" w:cs="Times New Roman"/>
                <w:i/>
                <w:color w:val="auto"/>
                <w:lang w:bidi="ar-SA"/>
              </w:rPr>
              <w:t>).</w:t>
            </w:r>
          </w:p>
          <w:p w14:paraId="7522E639" w14:textId="6BFEA392" w:rsidR="00733681" w:rsidRPr="00EE137E" w:rsidRDefault="00733681" w:rsidP="005F24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15.05.2024.</w:t>
            </w:r>
            <w:r w:rsidRPr="0088684C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</w:p>
          <w:p w14:paraId="2A639971" w14:textId="77777777" w:rsidR="005F2412" w:rsidRPr="003F1E3E" w:rsidRDefault="005F2412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6396C72" w:rsidR="00FC7A92" w:rsidRPr="00037B84" w:rsidRDefault="00FC7A9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AA1729C" w14:textId="4077665C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довідкою ГУ ДПС у м. Києві від </w:t>
            </w:r>
            <w:r w:rsidR="00733681">
              <w:rPr>
                <w:rFonts w:ascii="Times New Roman" w:eastAsia="Times New Roman" w:hAnsi="Times New Roman" w:cs="Times New Roman"/>
                <w:i/>
                <w:color w:val="auto"/>
              </w:rPr>
              <w:t>09.04.2024 № 218610-36-13-05-20/Е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</w:t>
            </w:r>
            <w:r w:rsidR="00733681">
              <w:rPr>
                <w:rFonts w:ascii="Times New Roman" w:eastAsia="Times New Roman" w:hAnsi="Times New Roman" w:cs="Times New Roman"/>
                <w:i/>
                <w:color w:val="auto"/>
              </w:rPr>
              <w:t>09.04.2024 Товариство не має податкового боргу, недоїмки зі сплати єдиного внеску, іншої заборгованості з платежів (у тому числі розстроченої, відстроченої, реструктуризованої), контроль за справлянням яких покладено на контролюючі органи.</w:t>
            </w:r>
          </w:p>
          <w:p w14:paraId="58E5C266" w14:textId="467354F2" w:rsidR="00733681" w:rsidRPr="00733681" w:rsidRDefault="00733681" w:rsidP="007336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7336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Відповідно до листа ГУ ДПС у м. Києві від 13.05.2024                            № 13540/5/26-15-13-01-05 станом на 01.05.2024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Товариство </w:t>
            </w:r>
            <w:r w:rsidRPr="0073368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не включено до переліку підприємств-боржників зі сплати земельного податку та орендної плати за землю.</w:t>
            </w:r>
          </w:p>
          <w:p w14:paraId="35313EC0" w14:textId="77777777" w:rsidR="00733681" w:rsidRDefault="00733681" w:rsidP="002D6E0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59A95AA" w14:textId="77777777" w:rsidR="00DE0E7B" w:rsidRDefault="00733681" w:rsidP="002D6E0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3681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8D06E1F" w14:textId="77777777" w:rsidR="00733681" w:rsidRDefault="00733681" w:rsidP="002D6E0D">
            <w:pPr>
              <w:jc w:val="both"/>
            </w:pPr>
          </w:p>
          <w:p w14:paraId="5B5C3562" w14:textId="77777777" w:rsidR="00733681" w:rsidRDefault="00733681" w:rsidP="0073368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7B78DCB8" w14:textId="77777777" w:rsidR="00733681" w:rsidRDefault="00733681" w:rsidP="0073368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CEF3E" w14:textId="66B8832A" w:rsidR="00733681" w:rsidRPr="00733681" w:rsidRDefault="00733681" w:rsidP="00733681">
            <w:pPr>
              <w:jc w:val="both"/>
            </w:pPr>
            <w:r>
              <w:rPr>
                <w:rFonts w:ascii="Times New Roman" w:hAnsi="Times New Roman" w:cs="Times New Roman"/>
                <w:i/>
              </w:rPr>
              <w:t>Зважаючи на вказане Департаментом земельних ресурсів направляється до Київської міської ради цей проєкт рішення для подальшого розгляду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2624A6B1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 xml:space="preserve">Загальні засади та порядок поновлення договорів оренди земельних ділянок 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</w:t>
      </w:r>
      <w:r w:rsidR="00733681">
        <w:rPr>
          <w:i w:val="0"/>
          <w:sz w:val="24"/>
          <w:szCs w:val="24"/>
        </w:rPr>
        <w:t xml:space="preserve">                             </w:t>
      </w:r>
      <w:r w:rsidRPr="001D49C8">
        <w:rPr>
          <w:i w:val="0"/>
          <w:sz w:val="24"/>
          <w:szCs w:val="24"/>
        </w:rPr>
        <w:t>від 20.04.2017 № 241/2463.</w:t>
      </w:r>
    </w:p>
    <w:p w14:paraId="5636980B" w14:textId="0066ADE2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 xml:space="preserve">кт рішення </w:t>
      </w:r>
      <w:r w:rsidRPr="00733681">
        <w:rPr>
          <w:i w:val="0"/>
          <w:sz w:val="24"/>
          <w:szCs w:val="24"/>
        </w:rPr>
        <w:t>не</w:t>
      </w:r>
      <w:r>
        <w:rPr>
          <w:i w:val="0"/>
          <w:sz w:val="24"/>
          <w:szCs w:val="24"/>
        </w:rPr>
        <w:t xml:space="preserve">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E8544C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E8544C">
        <w:rPr>
          <w:rFonts w:ascii="Times New Roman" w:eastAsia="Times New Roman" w:hAnsi="Times New Roman" w:cs="Times New Roman"/>
          <w:iCs/>
        </w:rPr>
        <w:t xml:space="preserve">Проєкт рішення </w:t>
      </w:r>
      <w:r w:rsidRPr="00733681">
        <w:rPr>
          <w:rFonts w:ascii="Times New Roman" w:eastAsia="Times New Roman" w:hAnsi="Times New Roman" w:cs="Times New Roman"/>
          <w:iCs/>
        </w:rPr>
        <w:t>не</w:t>
      </w:r>
      <w:r w:rsidRPr="00E8544C">
        <w:rPr>
          <w:rFonts w:ascii="Times New Roman" w:eastAsia="Times New Roman" w:hAnsi="Times New Roman" w:cs="Times New Roman"/>
          <w:iCs/>
        </w:rPr>
        <w:t xml:space="preserve">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7B496F4A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3F1E3E" w:rsidRPr="003F1E3E">
        <w:rPr>
          <w:i w:val="0"/>
          <w:sz w:val="24"/>
          <w:szCs w:val="24"/>
        </w:rPr>
        <w:t xml:space="preserve">14.12.2023 № 7531/7572 «Про бюджет міста Києва на 2024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500F9A" w:rsidRPr="00500F9A">
        <w:rPr>
          <w:b/>
          <w:sz w:val="24"/>
          <w:szCs w:val="24"/>
          <w:shd w:val="clear" w:color="auto" w:fill="FFFFFF"/>
        </w:rPr>
        <w:t>633</w:t>
      </w:r>
      <w:r w:rsidR="00500F9A">
        <w:rPr>
          <w:b/>
          <w:sz w:val="24"/>
          <w:szCs w:val="24"/>
          <w:shd w:val="clear" w:color="auto" w:fill="FFFFFF"/>
          <w:lang w:val="en-US"/>
        </w:rPr>
        <w:t> </w:t>
      </w:r>
      <w:r w:rsidR="00500F9A" w:rsidRPr="00500F9A">
        <w:rPr>
          <w:b/>
          <w:sz w:val="24"/>
          <w:szCs w:val="24"/>
          <w:shd w:val="clear" w:color="auto" w:fill="FFFFFF"/>
        </w:rPr>
        <w:t>179</w:t>
      </w:r>
      <w:r w:rsidR="00500F9A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грн</w:t>
      </w:r>
      <w:r w:rsidR="00500F9A" w:rsidRPr="00500F9A">
        <w:rPr>
          <w:b/>
          <w:sz w:val="24"/>
          <w:szCs w:val="24"/>
          <w:shd w:val="clear" w:color="auto" w:fill="FFFFFF"/>
        </w:rPr>
        <w:t xml:space="preserve"> 56</w:t>
      </w:r>
      <w:r w:rsidR="00500F9A">
        <w:rPr>
          <w:b/>
          <w:sz w:val="24"/>
          <w:szCs w:val="24"/>
          <w:shd w:val="clear" w:color="auto" w:fill="FFFFFF"/>
        </w:rPr>
        <w:t xml:space="preserve"> коп. (5%).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46A54C00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="00733681">
        <w:rPr>
          <w:i w:val="0"/>
          <w:sz w:val="24"/>
          <w:szCs w:val="24"/>
        </w:rPr>
        <w:t xml:space="preserve"> </w:t>
      </w:r>
      <w:r w:rsidRPr="00037B84">
        <w:rPr>
          <w:i w:val="0"/>
          <w:sz w:val="24"/>
          <w:szCs w:val="24"/>
        </w:rPr>
        <w:t>ділянк</w:t>
      </w:r>
      <w:r>
        <w:rPr>
          <w:i w:val="0"/>
          <w:sz w:val="24"/>
          <w:szCs w:val="24"/>
        </w:rPr>
        <w:t>ою</w:t>
      </w:r>
      <w:r w:rsidR="00733681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88684C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A8D0" w14:textId="77777777" w:rsidR="002E49D6" w:rsidRDefault="002E49D6">
      <w:r>
        <w:separator/>
      </w:r>
    </w:p>
  </w:endnote>
  <w:endnote w:type="continuationSeparator" w:id="0">
    <w:p w14:paraId="250C7DE6" w14:textId="77777777" w:rsidR="002E49D6" w:rsidRDefault="002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FB30" w14:textId="77777777" w:rsidR="002E49D6" w:rsidRDefault="002E49D6"/>
  </w:footnote>
  <w:footnote w:type="continuationSeparator" w:id="0">
    <w:p w14:paraId="3D76664D" w14:textId="77777777" w:rsidR="002E49D6" w:rsidRDefault="002E4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88684C">
          <w:rPr>
            <w:i w:val="0"/>
            <w:sz w:val="12"/>
            <w:szCs w:val="12"/>
            <w:lang w:val="ru-RU"/>
          </w:rPr>
          <w:t>-66530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88684C">
          <w:rPr>
            <w:i w:val="0"/>
            <w:sz w:val="12"/>
            <w:szCs w:val="12"/>
            <w:lang w:val="ru-RU"/>
          </w:rPr>
          <w:t>14.06.2024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88684C">
          <w:rPr>
            <w:i w:val="0"/>
            <w:sz w:val="12"/>
            <w:szCs w:val="12"/>
            <w:lang w:val="ru-RU"/>
          </w:rPr>
          <w:t>370541699</w:t>
        </w:r>
      </w:p>
      <w:p w14:paraId="0BF67CBB" w14:textId="4BE83AF3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231FE" w:rsidRPr="007231F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5619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B45D9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06DF8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06F2"/>
    <w:rsid w:val="0040429C"/>
    <w:rsid w:val="00430CA4"/>
    <w:rsid w:val="00433B42"/>
    <w:rsid w:val="004360F8"/>
    <w:rsid w:val="00452111"/>
    <w:rsid w:val="0045563D"/>
    <w:rsid w:val="00474616"/>
    <w:rsid w:val="0049406D"/>
    <w:rsid w:val="00495DE6"/>
    <w:rsid w:val="004A4541"/>
    <w:rsid w:val="004B05D1"/>
    <w:rsid w:val="004C19CE"/>
    <w:rsid w:val="004C4F16"/>
    <w:rsid w:val="004D4B3C"/>
    <w:rsid w:val="004D51B7"/>
    <w:rsid w:val="004F783E"/>
    <w:rsid w:val="00500F9A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3"/>
    <w:rsid w:val="005E272A"/>
    <w:rsid w:val="005E7630"/>
    <w:rsid w:val="005F2412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0CC5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33681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85617"/>
    <w:rsid w:val="0088684C"/>
    <w:rsid w:val="008A2C8C"/>
    <w:rsid w:val="008A338E"/>
    <w:rsid w:val="008B0F3F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2AFD"/>
    <w:rsid w:val="00C77018"/>
    <w:rsid w:val="00C80013"/>
    <w:rsid w:val="00C87AA9"/>
    <w:rsid w:val="00C91423"/>
    <w:rsid w:val="00C91E5C"/>
    <w:rsid w:val="00C93024"/>
    <w:rsid w:val="00CA77A2"/>
    <w:rsid w:val="00CB46C0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8544C"/>
    <w:rsid w:val="00E94376"/>
    <w:rsid w:val="00EA1AC5"/>
    <w:rsid w:val="00EA42C9"/>
    <w:rsid w:val="00EB297C"/>
    <w:rsid w:val="00EC0B76"/>
    <w:rsid w:val="00EC557F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77C4A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</w:div>
        <w:div w:id="2139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F39A-6E5A-4A6F-89C0-2D1E473C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7562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Тюлькова Анастасія Ігорівна</cp:lastModifiedBy>
  <cp:revision>13</cp:revision>
  <cp:lastPrinted>2021-11-25T14:16:00Z</cp:lastPrinted>
  <dcterms:created xsi:type="dcterms:W3CDTF">2024-02-20T12:49:00Z</dcterms:created>
  <dcterms:modified xsi:type="dcterms:W3CDTF">2024-06-21T07:04:00Z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2024-06-14T09:01:21Z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95979ff5-a68d-4cdb-972d-6a7db9ede31e</vt:lpwstr>
  </property>
  <property fmtid="{D5CDD505-2E9C-101B-9397-08002B2CF9AE}" pid="8" name="MSIP_Label_defa4170-0d19-0005-0004-bc88714345d2_ContentBits">
    <vt:lpwstr>0</vt:lpwstr>
  </property>
</Properties>
</file>