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B74768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B7476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E96E61" w:rsidRPr="00AF32F9" w:rsidRDefault="00E96E6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E96E61" w:rsidRPr="00AF32F9" w:rsidRDefault="00E96E6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>№ 394184153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E96E61" w:rsidRPr="00AF32F9" w:rsidRDefault="00E96E6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E96E61" w:rsidRPr="00AF32F9" w:rsidRDefault="00E96E6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>№ 394184153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4768">
        <w:rPr>
          <w:sz w:val="36"/>
          <w:szCs w:val="36"/>
        </w:rPr>
        <w:t>ПОЯСНЮВАЛЬНА ЗАПИСКА</w:t>
      </w:r>
    </w:p>
    <w:p w14:paraId="1A8F8DD2" w14:textId="27BFDBA0" w:rsidR="00D437FF" w:rsidRPr="00B74768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B74768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B74768">
        <w:rPr>
          <w:b/>
          <w:bCs/>
          <w:sz w:val="24"/>
          <w:szCs w:val="24"/>
        </w:rPr>
        <w:t xml:space="preserve">№ </w:t>
      </w:r>
      <w:r w:rsidR="00AF32F9" w:rsidRPr="00B74768">
        <w:rPr>
          <w:b/>
          <w:bCs/>
          <w:sz w:val="24"/>
          <w:szCs w:val="24"/>
        </w:rPr>
        <w:t>ПЗН-76046</w:t>
      </w:r>
      <w:r w:rsidR="003D4611" w:rsidRPr="00B74768">
        <w:rPr>
          <w:b/>
          <w:bCs/>
          <w:sz w:val="24"/>
          <w:szCs w:val="24"/>
        </w:rPr>
        <w:t xml:space="preserve"> від </w:t>
      </w:r>
      <w:r w:rsidR="00E67C2C" w:rsidRPr="00B74768">
        <w:rPr>
          <w:b/>
          <w:bCs/>
          <w:sz w:val="24"/>
          <w:szCs w:val="24"/>
        </w:rPr>
        <w:t>24.01.2025</w:t>
      </w:r>
    </w:p>
    <w:p w14:paraId="36B3D9A2" w14:textId="77777777" w:rsidR="0003296F" w:rsidRPr="00B74768" w:rsidRDefault="003D4611" w:rsidP="0003296F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476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B7476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B7476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B747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7476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101670" w:rsidRPr="00B747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101670" w:rsidRPr="00B74768">
        <w:rPr>
          <w:rStyle w:val="ad"/>
          <w:rFonts w:ascii="Times New Roman" w:hAnsi="Times New Roman" w:cs="Times New Roman"/>
          <w:b/>
          <w:i/>
          <w:color w:val="auto"/>
          <w:sz w:val="24"/>
          <w:szCs w:val="24"/>
        </w:rPr>
        <w:t>оренду</w:t>
      </w:r>
      <w:r w:rsidR="00101670" w:rsidRPr="00B747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101670" w:rsidRPr="00B74768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>1866</w:t>
      </w:r>
    </w:p>
    <w:p w14:paraId="10406A3D" w14:textId="10000C27" w:rsidR="00D437FF" w:rsidRPr="00B74768" w:rsidRDefault="00101670" w:rsidP="0003296F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4768">
        <w:rPr>
          <w:rFonts w:ascii="Times New Roman" w:hAnsi="Times New Roman" w:cs="Times New Roman"/>
          <w:b/>
          <w:color w:val="auto"/>
          <w:sz w:val="24"/>
          <w:szCs w:val="24"/>
        </w:rPr>
        <w:t>на вул. Кожум'яцьк</w:t>
      </w:r>
      <w:r w:rsidRPr="00B74768">
        <w:rPr>
          <w:rFonts w:ascii="Times New Roman" w:hAnsi="Times New Roman" w:cs="Times New Roman"/>
          <w:b/>
          <w:iCs w:val="0"/>
          <w:color w:val="auto"/>
          <w:sz w:val="24"/>
          <w:szCs w:val="24"/>
        </w:rPr>
        <w:t>ій</w:t>
      </w:r>
      <w:r w:rsidRPr="00B74768">
        <w:rPr>
          <w:rFonts w:ascii="Times New Roman" w:hAnsi="Times New Roman" w:cs="Times New Roman"/>
          <w:b/>
          <w:color w:val="auto"/>
          <w:sz w:val="24"/>
          <w:szCs w:val="24"/>
        </w:rPr>
        <w:t>, 12  у Подільському районі міста Києва</w:t>
      </w:r>
    </w:p>
    <w:p w14:paraId="6CDEEE4F" w14:textId="77777777" w:rsidR="0003296F" w:rsidRPr="00B74768" w:rsidRDefault="0003296F" w:rsidP="0003296F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4E91622D" w:rsidR="003C0A13" w:rsidRPr="00B74768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B74768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101670" w:rsidRPr="00B74768" w14:paraId="031B8A0C" w14:textId="77777777" w:rsidTr="00E96E61">
        <w:trPr>
          <w:cantSplit/>
          <w:trHeight w:val="293"/>
        </w:trPr>
        <w:tc>
          <w:tcPr>
            <w:tcW w:w="3266" w:type="dxa"/>
          </w:tcPr>
          <w:p w14:paraId="3224A4F0" w14:textId="77777777" w:rsidR="00101670" w:rsidRPr="00B74768" w:rsidRDefault="00101670" w:rsidP="00E96E61">
            <w:pPr>
              <w:pStyle w:val="a5"/>
              <w:shd w:val="clear" w:color="auto" w:fill="auto"/>
              <w:ind w:hanging="113"/>
              <w:rPr>
                <w:b/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42D86806" w14:textId="77777777" w:rsidR="00101670" w:rsidRPr="00B74768" w:rsidRDefault="00101670" w:rsidP="00E96E61">
            <w:pPr>
              <w:pStyle w:val="a5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101670" w:rsidRPr="00B74768" w14:paraId="6F118D0A" w14:textId="77777777" w:rsidTr="00E96E61">
        <w:trPr>
          <w:cantSplit/>
          <w:trHeight w:val="523"/>
        </w:trPr>
        <w:tc>
          <w:tcPr>
            <w:tcW w:w="3266" w:type="dxa"/>
          </w:tcPr>
          <w:p w14:paraId="528B95FF" w14:textId="77777777" w:rsidR="00101670" w:rsidRPr="00B74768" w:rsidRDefault="00101670" w:rsidP="00E96E61">
            <w:pPr>
              <w:pStyle w:val="a5"/>
              <w:ind w:hanging="113"/>
              <w:rPr>
                <w:b/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Перелік засновників</w:t>
            </w:r>
          </w:p>
          <w:p w14:paraId="500634D9" w14:textId="77777777" w:rsidR="00101670" w:rsidRPr="00B74768" w:rsidRDefault="00101670" w:rsidP="00E96E61">
            <w:pPr>
              <w:pStyle w:val="a5"/>
              <w:ind w:hanging="113"/>
              <w:rPr>
                <w:b/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1926582E" w14:textId="77777777" w:rsidR="00101670" w:rsidRPr="00B74768" w:rsidRDefault="00101670" w:rsidP="00E96E6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101670" w:rsidRPr="00B74768" w14:paraId="6660771C" w14:textId="77777777" w:rsidTr="00E96E61">
        <w:trPr>
          <w:cantSplit/>
          <w:trHeight w:val="601"/>
        </w:trPr>
        <w:tc>
          <w:tcPr>
            <w:tcW w:w="3266" w:type="dxa"/>
          </w:tcPr>
          <w:p w14:paraId="0F5C988B" w14:textId="77777777" w:rsidR="00101670" w:rsidRPr="00B74768" w:rsidRDefault="00101670" w:rsidP="00E96E61">
            <w:pPr>
              <w:pStyle w:val="a5"/>
              <w:ind w:left="-113"/>
              <w:rPr>
                <w:b/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Кінцевий бенефіціарний  </w:t>
            </w:r>
          </w:p>
          <w:p w14:paraId="6E54D327" w14:textId="77777777" w:rsidR="00101670" w:rsidRPr="00B74768" w:rsidRDefault="00101670" w:rsidP="00E96E61">
            <w:pPr>
              <w:pStyle w:val="a5"/>
              <w:ind w:left="-113"/>
              <w:rPr>
                <w:b/>
                <w:sz w:val="16"/>
                <w:szCs w:val="16"/>
              </w:rPr>
            </w:pPr>
            <w:r w:rsidRPr="00B74768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47356405" w14:textId="77777777" w:rsidR="00101670" w:rsidRPr="00B74768" w:rsidRDefault="00101670" w:rsidP="00E96E61">
            <w:pPr>
              <w:pStyle w:val="a5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664B0089" w14:textId="77777777" w:rsidR="00101670" w:rsidRPr="00B74768" w:rsidRDefault="00101670" w:rsidP="00E96E61">
            <w:pPr>
              <w:pStyle w:val="a5"/>
              <w:shd w:val="clear" w:color="auto" w:fill="auto"/>
              <w:rPr>
                <w:b/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101670" w:rsidRPr="00B74768" w14:paraId="1872EDD8" w14:textId="77777777" w:rsidTr="00E96E61">
        <w:trPr>
          <w:cantSplit/>
          <w:trHeight w:val="293"/>
        </w:trPr>
        <w:tc>
          <w:tcPr>
            <w:tcW w:w="3266" w:type="dxa"/>
          </w:tcPr>
          <w:p w14:paraId="1DC66A3B" w14:textId="77777777" w:rsidR="00101670" w:rsidRPr="00B74768" w:rsidRDefault="00101670" w:rsidP="00E96E6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5FE612FA" w14:textId="6A41C109" w:rsidR="00101670" w:rsidRPr="00B74768" w:rsidRDefault="00BF35C9" w:rsidP="00E96E6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B74768">
              <w:rPr>
                <w:i/>
                <w:iCs/>
                <w:sz w:val="24"/>
                <w:szCs w:val="24"/>
              </w:rPr>
              <w:t>від 02.12.2024 № 394184153</w:t>
            </w:r>
          </w:p>
        </w:tc>
      </w:tr>
    </w:tbl>
    <w:p w14:paraId="424548FF" w14:textId="1A47EC27" w:rsidR="00D437FF" w:rsidRPr="00B74768" w:rsidRDefault="00D437FF" w:rsidP="00BF35C9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0B1660AB" w14:textId="0836B888" w:rsidR="00D437FF" w:rsidRPr="00B74768" w:rsidRDefault="003D4611" w:rsidP="00BF35C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 xml:space="preserve">Відомості про земельну </w:t>
      </w:r>
      <w:r w:rsidR="00BF35C9" w:rsidRPr="00B74768">
        <w:rPr>
          <w:b/>
          <w:sz w:val="24"/>
          <w:szCs w:val="24"/>
        </w:rPr>
        <w:t>ділянку (кадастровий №</w:t>
      </w:r>
      <w:r w:rsidRPr="00B74768">
        <w:rPr>
          <w:b/>
          <w:bCs/>
          <w:sz w:val="24"/>
          <w:szCs w:val="24"/>
        </w:rPr>
        <w:t xml:space="preserve"> </w:t>
      </w:r>
      <w:r w:rsidR="008F1609" w:rsidRPr="00B74768">
        <w:rPr>
          <w:b/>
          <w:bCs/>
          <w:sz w:val="24"/>
          <w:szCs w:val="24"/>
        </w:rPr>
        <w:t>8000000000:85:381:0005</w:t>
      </w:r>
      <w:r w:rsidR="00BF35C9" w:rsidRPr="00B74768">
        <w:rPr>
          <w:b/>
          <w:bCs/>
          <w:sz w:val="24"/>
          <w:szCs w:val="24"/>
        </w:rPr>
        <w:t>)</w:t>
      </w:r>
      <w:r w:rsidR="002A31D3" w:rsidRPr="00B74768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BF35C9" w:rsidRPr="00B74768" w14:paraId="45C4312D" w14:textId="77777777" w:rsidTr="00E96E61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5E0DD44C" w14:textId="17BD764B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53963D8D" w14:textId="217E525F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B74768">
              <w:rPr>
                <w:i/>
                <w:iCs/>
                <w:sz w:val="24"/>
                <w:szCs w:val="24"/>
              </w:rPr>
              <w:t>м. Київ, р-н Подільський, вул. Кожум'яцька, 12</w:t>
            </w:r>
          </w:p>
        </w:tc>
      </w:tr>
      <w:tr w:rsidR="00BF35C9" w:rsidRPr="00B74768" w14:paraId="29894366" w14:textId="77777777" w:rsidTr="00E96E61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129F54DB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0587104E" w14:textId="31062658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B74768">
              <w:rPr>
                <w:i/>
                <w:iCs/>
                <w:color w:val="000000" w:themeColor="text1"/>
                <w:sz w:val="24"/>
                <w:szCs w:val="24"/>
              </w:rPr>
              <w:t>0,0075</w:t>
            </w:r>
            <w:r w:rsidRPr="00B74768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BF35C9" w:rsidRPr="00B74768" w14:paraId="6DE4092E" w14:textId="77777777" w:rsidTr="00E96E61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11EB6956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0F34D473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78C6E8D6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01DF4844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BF35C9" w:rsidRPr="00B74768" w14:paraId="5698388E" w14:textId="77777777" w:rsidTr="00E96E61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6041178E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3C319E71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BF35C9" w:rsidRPr="00B74768" w14:paraId="6B28B035" w14:textId="77777777" w:rsidTr="00BF35C9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28BE81D2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2F870DC9" w14:textId="2693AA4B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  <w:highlight w:val="white"/>
              </w:rPr>
              <w:t>14.02</w:t>
            </w:r>
            <w:r w:rsidRPr="00B74768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1866</w:t>
            </w:r>
            <w:r w:rsidRPr="00B74768">
              <w:rPr>
                <w:i/>
                <w:sz w:val="24"/>
                <w:szCs w:val="24"/>
              </w:rPr>
              <w:t>)</w:t>
            </w:r>
          </w:p>
        </w:tc>
      </w:tr>
      <w:tr w:rsidR="00BF35C9" w:rsidRPr="00B74768" w14:paraId="33CA8531" w14:textId="77777777" w:rsidTr="00E96E61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12FCD971" w14:textId="77777777" w:rsidR="00BF35C9" w:rsidRPr="00B74768" w:rsidRDefault="00BF35C9" w:rsidP="00BF35C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Нормативна грошова оцінка </w:t>
            </w:r>
            <w:r w:rsidRPr="00B74768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092E8504" w14:textId="74ACFA0C" w:rsidR="00BF35C9" w:rsidRPr="00F56529" w:rsidRDefault="00F56529" w:rsidP="00BF35C9">
            <w:pPr>
              <w:pStyle w:val="a7"/>
              <w:spacing w:after="0"/>
              <w:ind w:firstLine="155"/>
              <w:rPr>
                <w:bCs/>
                <w:i/>
                <w:sz w:val="24"/>
                <w:szCs w:val="24"/>
              </w:rPr>
            </w:pPr>
            <w:r w:rsidRPr="00F56529">
              <w:rPr>
                <w:bCs/>
                <w:i/>
                <w:sz w:val="24"/>
                <w:szCs w:val="24"/>
                <w:lang w:val="en-US"/>
              </w:rPr>
              <w:t>274</w:t>
            </w:r>
            <w:r>
              <w:rPr>
                <w:bCs/>
                <w:i/>
                <w:sz w:val="24"/>
                <w:szCs w:val="24"/>
                <w:lang w:val="en-US"/>
              </w:rPr>
              <w:t> </w:t>
            </w:r>
            <w:r w:rsidRPr="00F56529">
              <w:rPr>
                <w:bCs/>
                <w:i/>
                <w:sz w:val="24"/>
                <w:szCs w:val="24"/>
                <w:lang w:val="en-US"/>
              </w:rPr>
              <w:t>828</w:t>
            </w:r>
            <w:r>
              <w:rPr>
                <w:bCs/>
                <w:i/>
                <w:sz w:val="24"/>
                <w:szCs w:val="24"/>
              </w:rPr>
              <w:t xml:space="preserve"> грн </w:t>
            </w:r>
            <w:r w:rsidRPr="00F56529">
              <w:rPr>
                <w:bCs/>
                <w:i/>
                <w:sz w:val="24"/>
                <w:szCs w:val="24"/>
                <w:lang w:val="en-US"/>
              </w:rPr>
              <w:t>31</w:t>
            </w:r>
            <w:r w:rsidRPr="00F56529">
              <w:rPr>
                <w:i/>
                <w:sz w:val="24"/>
                <w:szCs w:val="24"/>
              </w:rPr>
              <w:t xml:space="preserve"> </w:t>
            </w:r>
            <w:r w:rsidR="00BF35C9" w:rsidRPr="00F56529">
              <w:rPr>
                <w:bCs/>
                <w:i/>
                <w:sz w:val="24"/>
                <w:szCs w:val="24"/>
              </w:rPr>
              <w:t>коп.</w:t>
            </w:r>
          </w:p>
          <w:p w14:paraId="58B1B06F" w14:textId="77777777" w:rsidR="00BF35C9" w:rsidRPr="00B74768" w:rsidRDefault="00BF35C9" w:rsidP="00BF35C9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BF35C9" w:rsidRPr="00B74768" w14:paraId="096EA488" w14:textId="77777777" w:rsidTr="00E96E61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B646DBB" w14:textId="77777777" w:rsidR="00BF35C9" w:rsidRPr="00B74768" w:rsidRDefault="00BF35C9" w:rsidP="00BF35C9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B74768">
              <w:rPr>
                <w:sz w:val="24"/>
                <w:szCs w:val="24"/>
              </w:rPr>
              <w:t xml:space="preserve"> *</w:t>
            </w:r>
            <w:r w:rsidRPr="00B74768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56D2A355" w14:textId="77777777" w:rsidR="00BF35C9" w:rsidRPr="00B74768" w:rsidRDefault="00BF35C9" w:rsidP="00BF35C9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69D0CC38" w14:textId="77777777" w:rsidR="00BF35C9" w:rsidRPr="00B74768" w:rsidRDefault="00BF35C9" w:rsidP="00BF35C9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0A37601B" w14:textId="77777777" w:rsidR="00BF35C9" w:rsidRPr="00B74768" w:rsidRDefault="00BF35C9" w:rsidP="00BF35C9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B74768" w:rsidRDefault="004B5ED5" w:rsidP="00BF35C9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74872E0D" w14:textId="4A2EC2F3" w:rsidR="00D437FF" w:rsidRPr="00B74768" w:rsidRDefault="003D4611" w:rsidP="00BF35C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>Обґрунтування прийняття рішення</w:t>
      </w:r>
      <w:r w:rsidR="00276994" w:rsidRPr="00B74768">
        <w:rPr>
          <w:b/>
          <w:bCs/>
          <w:sz w:val="24"/>
          <w:szCs w:val="24"/>
        </w:rPr>
        <w:t>.</w:t>
      </w:r>
    </w:p>
    <w:p w14:paraId="3BDAD97C" w14:textId="2216861F" w:rsidR="00BF35C9" w:rsidRPr="00B74768" w:rsidRDefault="00BF35C9" w:rsidP="00BF35C9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B74768">
        <w:rPr>
          <w:sz w:val="24"/>
          <w:szCs w:val="24"/>
        </w:rPr>
        <w:t xml:space="preserve">На замовлення </w:t>
      </w:r>
      <w:r w:rsidRPr="00B74768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B74768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B74768">
        <w:rPr>
          <w:sz w:val="24"/>
          <w:szCs w:val="24"/>
          <w:vertAlign w:val="superscript"/>
        </w:rPr>
        <w:t>1</w:t>
      </w:r>
      <w:r w:rsidRPr="00B74768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552421EF" w14:textId="77777777" w:rsidR="00BF35C9" w:rsidRPr="00B74768" w:rsidRDefault="00BF35C9" w:rsidP="00BF35C9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03296F" w:rsidRPr="00B74768" w14:paraId="7255840F" w14:textId="77777777" w:rsidTr="00E96E61">
        <w:tc>
          <w:tcPr>
            <w:tcW w:w="5098" w:type="dxa"/>
            <w:hideMark/>
          </w:tcPr>
          <w:p w14:paraId="74823A4A" w14:textId="77777777" w:rsidR="00BF35C9" w:rsidRPr="00B74768" w:rsidRDefault="00BF35C9" w:rsidP="00E96E6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7D0EAD4" w14:textId="4A209711" w:rsidR="00BF35C9" w:rsidRPr="00B74768" w:rsidRDefault="00BF35C9" w:rsidP="000329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4B04A300" w14:textId="5324D478" w:rsidR="00BF35C9" w:rsidRPr="00B74768" w:rsidRDefault="00EE4209" w:rsidP="00E96E61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B74768">
              <w:rPr>
                <w:b/>
                <w:color w:val="auto"/>
                <w:sz w:val="24"/>
                <w:szCs w:val="24"/>
              </w:rPr>
              <w:t>від 23</w:t>
            </w:r>
            <w:r w:rsidR="00BF35C9" w:rsidRPr="00B74768">
              <w:rPr>
                <w:b/>
                <w:color w:val="auto"/>
                <w:sz w:val="24"/>
                <w:szCs w:val="24"/>
              </w:rPr>
              <w:t>.</w:t>
            </w:r>
            <w:r w:rsidRPr="00B74768">
              <w:rPr>
                <w:b/>
                <w:color w:val="auto"/>
                <w:sz w:val="24"/>
                <w:szCs w:val="24"/>
              </w:rPr>
              <w:t>11</w:t>
            </w:r>
            <w:r w:rsidR="00BF35C9" w:rsidRPr="00B74768">
              <w:rPr>
                <w:b/>
                <w:color w:val="auto"/>
                <w:sz w:val="24"/>
                <w:szCs w:val="24"/>
              </w:rPr>
              <w:t xml:space="preserve">.2020  № </w:t>
            </w:r>
            <w:r w:rsidRPr="00B74768">
              <w:rPr>
                <w:b/>
                <w:color w:val="auto"/>
                <w:sz w:val="24"/>
                <w:szCs w:val="24"/>
              </w:rPr>
              <w:t>11797</w:t>
            </w:r>
            <w:r w:rsidR="00BF35C9" w:rsidRPr="00B74768">
              <w:rPr>
                <w:b/>
                <w:color w:val="auto"/>
                <w:sz w:val="24"/>
                <w:szCs w:val="24"/>
              </w:rPr>
              <w:t>/0/09/19-20</w:t>
            </w:r>
          </w:p>
          <w:p w14:paraId="54CDB2E9" w14:textId="42DD9E09" w:rsidR="00BF35C9" w:rsidRPr="00B74768" w:rsidRDefault="00BF35C9" w:rsidP="00E96E61">
            <w:pPr>
              <w:pStyle w:val="1"/>
              <w:shd w:val="clear" w:color="auto" w:fill="auto"/>
              <w:rPr>
                <w:color w:val="auto"/>
                <w:sz w:val="10"/>
                <w:szCs w:val="10"/>
              </w:rPr>
            </w:pPr>
          </w:p>
        </w:tc>
      </w:tr>
      <w:tr w:rsidR="0003296F" w:rsidRPr="00B74768" w14:paraId="3479913F" w14:textId="77777777" w:rsidTr="00E96E61">
        <w:trPr>
          <w:trHeight w:val="897"/>
        </w:trPr>
        <w:tc>
          <w:tcPr>
            <w:tcW w:w="5098" w:type="dxa"/>
          </w:tcPr>
          <w:p w14:paraId="55B83779" w14:textId="77777777" w:rsidR="00BF35C9" w:rsidRPr="00B74768" w:rsidRDefault="00BF35C9" w:rsidP="00E96E61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1734F8E6" w14:textId="77777777" w:rsidR="00BF35C9" w:rsidRPr="00B74768" w:rsidRDefault="00BF35C9" w:rsidP="00E96E6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63D3E28" w14:textId="77777777" w:rsidR="00BF35C9" w:rsidRPr="00B74768" w:rsidRDefault="00BF35C9" w:rsidP="00E96E61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568683FC" w14:textId="77777777" w:rsidR="00BF35C9" w:rsidRPr="00B74768" w:rsidRDefault="00BF35C9" w:rsidP="00E96E61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01823344" w14:textId="174A654A" w:rsidR="00BF35C9" w:rsidRPr="00B74768" w:rsidRDefault="00EE4209" w:rsidP="00E96E61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B74768">
              <w:rPr>
                <w:b/>
                <w:color w:val="auto"/>
                <w:sz w:val="24"/>
                <w:szCs w:val="24"/>
              </w:rPr>
              <w:t>від 09</w:t>
            </w:r>
            <w:r w:rsidR="00BF35C9" w:rsidRPr="00B74768">
              <w:rPr>
                <w:b/>
                <w:color w:val="auto"/>
                <w:sz w:val="24"/>
                <w:szCs w:val="24"/>
              </w:rPr>
              <w:t>.</w:t>
            </w:r>
            <w:r w:rsidRPr="00B74768">
              <w:rPr>
                <w:b/>
                <w:color w:val="auto"/>
                <w:sz w:val="24"/>
                <w:szCs w:val="24"/>
              </w:rPr>
              <w:t>10</w:t>
            </w:r>
            <w:r w:rsidR="00BF35C9" w:rsidRPr="00B74768">
              <w:rPr>
                <w:b/>
                <w:color w:val="auto"/>
                <w:sz w:val="24"/>
                <w:szCs w:val="24"/>
              </w:rPr>
              <w:t>.2020 № 066-</w:t>
            </w:r>
            <w:r w:rsidRPr="00B74768">
              <w:rPr>
                <w:b/>
                <w:color w:val="auto"/>
                <w:sz w:val="24"/>
                <w:szCs w:val="24"/>
              </w:rPr>
              <w:t>3631</w:t>
            </w:r>
          </w:p>
          <w:p w14:paraId="7AF56D93" w14:textId="77777777" w:rsidR="00BF35C9" w:rsidRPr="00B74768" w:rsidRDefault="00BF35C9" w:rsidP="00E96E61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03296F" w:rsidRPr="00B74768" w14:paraId="4B1F7381" w14:textId="77777777" w:rsidTr="00E96E61">
        <w:tc>
          <w:tcPr>
            <w:tcW w:w="5098" w:type="dxa"/>
            <w:hideMark/>
          </w:tcPr>
          <w:p w14:paraId="088A8115" w14:textId="28E71DD5" w:rsidR="0003296F" w:rsidRPr="00B74768" w:rsidRDefault="0003296F" w:rsidP="000329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62E2F612" w14:textId="4486AB51" w:rsidR="00BF35C9" w:rsidRPr="00B74768" w:rsidRDefault="0003296F" w:rsidP="000329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погодження):</w:t>
            </w:r>
          </w:p>
        </w:tc>
        <w:tc>
          <w:tcPr>
            <w:tcW w:w="4791" w:type="dxa"/>
            <w:vAlign w:val="bottom"/>
          </w:tcPr>
          <w:p w14:paraId="3806F039" w14:textId="68B73068" w:rsidR="00BF35C9" w:rsidRPr="00B74768" w:rsidRDefault="00BF35C9" w:rsidP="00E96E61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B74768">
              <w:rPr>
                <w:b/>
                <w:color w:val="auto"/>
                <w:sz w:val="24"/>
                <w:szCs w:val="24"/>
              </w:rPr>
              <w:t>від 1</w:t>
            </w:r>
            <w:r w:rsidR="0003296F" w:rsidRPr="00B74768">
              <w:rPr>
                <w:b/>
                <w:color w:val="auto"/>
                <w:sz w:val="24"/>
                <w:szCs w:val="24"/>
              </w:rPr>
              <w:t>4</w:t>
            </w:r>
            <w:r w:rsidRPr="00B74768">
              <w:rPr>
                <w:b/>
                <w:color w:val="auto"/>
                <w:sz w:val="24"/>
                <w:szCs w:val="24"/>
              </w:rPr>
              <w:t>.0</w:t>
            </w:r>
            <w:r w:rsidR="0003296F" w:rsidRPr="00B74768">
              <w:rPr>
                <w:b/>
                <w:color w:val="auto"/>
                <w:sz w:val="24"/>
                <w:szCs w:val="24"/>
              </w:rPr>
              <w:t>9</w:t>
            </w:r>
            <w:r w:rsidRPr="00B74768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="0003296F" w:rsidRPr="00B74768">
              <w:rPr>
                <w:b/>
                <w:color w:val="auto"/>
                <w:sz w:val="24"/>
                <w:szCs w:val="24"/>
              </w:rPr>
              <w:t>16732</w:t>
            </w:r>
            <w:r w:rsidRPr="00B74768">
              <w:rPr>
                <w:b/>
                <w:color w:val="auto"/>
                <w:sz w:val="24"/>
                <w:szCs w:val="24"/>
              </w:rPr>
              <w:t>/</w:t>
            </w:r>
            <w:r w:rsidR="0003296F" w:rsidRPr="00B74768">
              <w:rPr>
                <w:b/>
                <w:color w:val="auto"/>
                <w:sz w:val="24"/>
                <w:szCs w:val="24"/>
              </w:rPr>
              <w:t>82</w:t>
            </w:r>
            <w:r w:rsidRPr="00B74768">
              <w:rPr>
                <w:b/>
                <w:color w:val="auto"/>
                <w:sz w:val="24"/>
                <w:szCs w:val="24"/>
              </w:rPr>
              <w:t>-20</w:t>
            </w:r>
          </w:p>
          <w:p w14:paraId="7D3A92D2" w14:textId="77777777" w:rsidR="00BF35C9" w:rsidRPr="00B74768" w:rsidRDefault="00BF35C9" w:rsidP="00E96E61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</w:tr>
      <w:tr w:rsidR="0003296F" w:rsidRPr="00B74768" w14:paraId="04184C7F" w14:textId="77777777" w:rsidTr="00E96E61">
        <w:tc>
          <w:tcPr>
            <w:tcW w:w="5098" w:type="dxa"/>
          </w:tcPr>
          <w:p w14:paraId="3D16739E" w14:textId="77777777" w:rsidR="0003296F" w:rsidRPr="00B74768" w:rsidRDefault="0003296F" w:rsidP="000329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6DABFD21" w14:textId="0F2C99D7" w:rsidR="0003296F" w:rsidRPr="00B74768" w:rsidRDefault="0003296F" w:rsidP="000329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центральний орган виконавчої влади, що </w:t>
            </w:r>
          </w:p>
          <w:p w14:paraId="167DA2AE" w14:textId="1A6C6E2E" w:rsidR="0003296F" w:rsidRPr="00B74768" w:rsidRDefault="0003296F" w:rsidP="000329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69C19CE8" w14:textId="77777777" w:rsidR="0003296F" w:rsidRPr="00B74768" w:rsidRDefault="0003296F" w:rsidP="00E96E61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1F6C21F6" w14:textId="77777777" w:rsidR="0003296F" w:rsidRPr="00B74768" w:rsidRDefault="0003296F" w:rsidP="00E96E61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</w:p>
          <w:p w14:paraId="6CD6B630" w14:textId="45CD1F61" w:rsidR="0003296F" w:rsidRPr="00B74768" w:rsidRDefault="0003296F" w:rsidP="0003296F">
            <w:pPr>
              <w:pStyle w:val="1"/>
              <w:shd w:val="clear" w:color="auto" w:fill="auto"/>
              <w:rPr>
                <w:b/>
                <w:color w:val="auto"/>
                <w:sz w:val="24"/>
                <w:szCs w:val="24"/>
              </w:rPr>
            </w:pPr>
            <w:r w:rsidRPr="00B74768">
              <w:rPr>
                <w:b/>
                <w:color w:val="auto"/>
                <w:sz w:val="24"/>
                <w:szCs w:val="24"/>
              </w:rPr>
              <w:t>від 18.02.2021 № 397-21</w:t>
            </w:r>
          </w:p>
        </w:tc>
      </w:tr>
    </w:tbl>
    <w:p w14:paraId="31B6A8B4" w14:textId="77777777" w:rsidR="00BF35C9" w:rsidRPr="00B74768" w:rsidRDefault="00BF35C9" w:rsidP="00BF35C9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0DE39921" w14:textId="335F81A0" w:rsidR="00E82B1B" w:rsidRPr="00B74768" w:rsidRDefault="00BF35C9" w:rsidP="00BF35C9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B74768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71FCB010" w14:textId="77777777" w:rsidR="00BF35C9" w:rsidRPr="00B74768" w:rsidRDefault="00BF35C9" w:rsidP="00BF35C9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B74768" w:rsidRDefault="003D4611" w:rsidP="00BF35C9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>Мета прийняття рішення.</w:t>
      </w:r>
    </w:p>
    <w:p w14:paraId="583DAE4C" w14:textId="417BE582" w:rsidR="00BF35C9" w:rsidRPr="00B74768" w:rsidRDefault="00BF35C9" w:rsidP="00BF35C9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B74768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280F5370" w14:textId="0CB30FF4" w:rsidR="00BB725B" w:rsidRPr="00B74768" w:rsidRDefault="00BB725B" w:rsidP="00BF35C9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A001A48" w14:textId="6B4A7830" w:rsidR="009167DD" w:rsidRPr="00B74768" w:rsidRDefault="009A054D" w:rsidP="00BF35C9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B74768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B74768" w:rsidRDefault="00D21BEC" w:rsidP="00B74768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B74768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B74768" w:rsidRDefault="00D21BEC" w:rsidP="00B74768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D3E" w14:textId="50221244" w:rsidR="00BF35C9" w:rsidRPr="00B74768" w:rsidRDefault="00BF35C9" w:rsidP="00B7476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1866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(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>літ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ера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 «Д»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)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 загальною площею 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16,8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 кв.м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, яка складається з нежитлових приміщень з № 1 та № 2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 (реєстраційний номер об’єкта нерухомого майна: </w:t>
            </w:r>
            <w:r w:rsidR="00B74768" w:rsidRPr="00B74768">
              <w:rPr>
                <w:rFonts w:ascii="Times New Roman" w:hAnsi="Times New Roman" w:cs="Times New Roman"/>
                <w:i/>
                <w:color w:val="auto"/>
              </w:rPr>
              <w:t>12461334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B74768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180DEBA4" w14:textId="5A7B6F61" w:rsidR="005300ED" w:rsidRPr="00B74768" w:rsidRDefault="00BF35C9" w:rsidP="00B7476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>реєстрі речових прав на нерухоме майно 0</w:t>
            </w:r>
            <w:r w:rsidR="00B74768" w:rsidRPr="00B74768">
              <w:rPr>
                <w:i/>
                <w:sz w:val="24"/>
                <w:szCs w:val="24"/>
              </w:rPr>
              <w:t>9</w:t>
            </w:r>
            <w:r w:rsidRPr="00B74768">
              <w:rPr>
                <w:i/>
                <w:sz w:val="24"/>
                <w:szCs w:val="24"/>
              </w:rPr>
              <w:t>.</w:t>
            </w:r>
            <w:r w:rsidR="00B74768" w:rsidRPr="00B74768">
              <w:rPr>
                <w:i/>
                <w:sz w:val="24"/>
                <w:szCs w:val="24"/>
              </w:rPr>
              <w:t>11</w:t>
            </w:r>
            <w:r w:rsidRPr="00B74768">
              <w:rPr>
                <w:i/>
                <w:sz w:val="24"/>
                <w:szCs w:val="24"/>
              </w:rPr>
              <w:t>.201</w:t>
            </w:r>
            <w:r w:rsidR="00B74768" w:rsidRPr="00B74768">
              <w:rPr>
                <w:i/>
                <w:sz w:val="24"/>
                <w:szCs w:val="24"/>
              </w:rPr>
              <w:t>8</w:t>
            </w:r>
            <w:r w:rsidRPr="00B74768">
              <w:rPr>
                <w:i/>
                <w:sz w:val="24"/>
                <w:szCs w:val="24"/>
              </w:rPr>
              <w:t xml:space="preserve">, номер відомостей про речове право: </w:t>
            </w:r>
            <w:r w:rsidR="00B74768" w:rsidRPr="00B74768">
              <w:rPr>
                <w:i/>
                <w:sz w:val="24"/>
                <w:szCs w:val="24"/>
              </w:rPr>
              <w:t>2893231</w:t>
            </w:r>
            <w:r w:rsidRPr="00B74768">
              <w:rPr>
                <w:i/>
                <w:sz w:val="24"/>
                <w:szCs w:val="24"/>
              </w:rPr>
              <w:t>6 (інформація з Державного реєстру речових прав на нерухоме майн</w:t>
            </w:r>
            <w:r w:rsidR="00B74768" w:rsidRPr="00B74768">
              <w:rPr>
                <w:i/>
                <w:sz w:val="24"/>
                <w:szCs w:val="24"/>
              </w:rPr>
              <w:t>о                від 24</w:t>
            </w:r>
            <w:r w:rsidRPr="00B74768">
              <w:rPr>
                <w:i/>
                <w:sz w:val="24"/>
                <w:szCs w:val="24"/>
              </w:rPr>
              <w:t>.</w:t>
            </w:r>
            <w:r w:rsidR="00B74768" w:rsidRPr="00B74768">
              <w:rPr>
                <w:i/>
                <w:sz w:val="24"/>
                <w:szCs w:val="24"/>
              </w:rPr>
              <w:t>01</w:t>
            </w:r>
            <w:r w:rsidRPr="00B74768">
              <w:rPr>
                <w:i/>
                <w:sz w:val="24"/>
                <w:szCs w:val="24"/>
              </w:rPr>
              <w:t>.202</w:t>
            </w:r>
            <w:r w:rsidR="00B74768" w:rsidRPr="00B74768">
              <w:rPr>
                <w:i/>
                <w:sz w:val="24"/>
                <w:szCs w:val="24"/>
              </w:rPr>
              <w:t>5</w:t>
            </w:r>
            <w:r w:rsidRPr="00B74768">
              <w:rPr>
                <w:i/>
                <w:sz w:val="24"/>
                <w:szCs w:val="24"/>
              </w:rPr>
              <w:t xml:space="preserve">  № </w:t>
            </w:r>
            <w:r w:rsidR="00B74768" w:rsidRPr="00B74768">
              <w:rPr>
                <w:i/>
                <w:sz w:val="24"/>
                <w:szCs w:val="24"/>
              </w:rPr>
              <w:t>409532863</w:t>
            </w:r>
            <w:r w:rsidRPr="00B74768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B74768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B74768" w:rsidRDefault="00D21BEC" w:rsidP="00B74768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B74768" w:rsidRDefault="00793BA6" w:rsidP="00B7476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74768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B74768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B74768" w:rsidRDefault="00D21BEC" w:rsidP="00B74768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B74768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B74768" w:rsidRDefault="00D21BEC" w:rsidP="00B74768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 xml:space="preserve">згідно </w:t>
            </w:r>
            <w:r w:rsidR="00364476" w:rsidRPr="00B74768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7EC19AA9" w:rsidR="005300ED" w:rsidRPr="00B74768" w:rsidRDefault="00BF35C9" w:rsidP="00B7476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74768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 w:rsidR="00B74768" w:rsidRPr="00B74768">
              <w:rPr>
                <w:i/>
                <w:sz w:val="24"/>
                <w:szCs w:val="24"/>
              </w:rPr>
              <w:t xml:space="preserve">                     </w:t>
            </w:r>
            <w:r w:rsidRPr="00B74768">
              <w:rPr>
                <w:i/>
                <w:sz w:val="24"/>
                <w:szCs w:val="24"/>
              </w:rPr>
              <w:t xml:space="preserve">від 28.03.2002 № 370/1804, земельна ділянка за функціональним призначенням належить до території </w:t>
            </w:r>
            <w:r w:rsidR="0003296F" w:rsidRPr="00B74768">
              <w:rPr>
                <w:i/>
                <w:sz w:val="24"/>
                <w:szCs w:val="24"/>
              </w:rPr>
              <w:t>громадських будівель та споруд</w:t>
            </w:r>
            <w:r w:rsidRPr="00B74768">
              <w:rPr>
                <w:i/>
                <w:sz w:val="24"/>
                <w:szCs w:val="24"/>
              </w:rPr>
              <w:t xml:space="preserve"> (витяг </w:t>
            </w:r>
            <w:r w:rsidRPr="00B74768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B74768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</w:t>
            </w:r>
            <w:r w:rsidR="0003296F" w:rsidRPr="00B74768">
              <w:rPr>
                <w:i/>
                <w:sz w:val="24"/>
                <w:szCs w:val="24"/>
              </w:rPr>
              <w:t>ї державної адміністрації) від 26</w:t>
            </w:r>
            <w:r w:rsidRPr="00B74768">
              <w:rPr>
                <w:i/>
                <w:sz w:val="24"/>
                <w:szCs w:val="24"/>
              </w:rPr>
              <w:t>.</w:t>
            </w:r>
            <w:r w:rsidR="0003296F" w:rsidRPr="00B74768">
              <w:rPr>
                <w:i/>
                <w:sz w:val="24"/>
                <w:szCs w:val="24"/>
              </w:rPr>
              <w:t>04</w:t>
            </w:r>
            <w:r w:rsidRPr="00B74768">
              <w:rPr>
                <w:i/>
                <w:sz w:val="24"/>
                <w:szCs w:val="24"/>
              </w:rPr>
              <w:t>.202</w:t>
            </w:r>
            <w:r w:rsidR="0003296F" w:rsidRPr="00B74768">
              <w:rPr>
                <w:i/>
                <w:sz w:val="24"/>
                <w:szCs w:val="24"/>
              </w:rPr>
              <w:t>4</w:t>
            </w:r>
            <w:r w:rsidRPr="00B74768">
              <w:rPr>
                <w:i/>
                <w:sz w:val="24"/>
                <w:szCs w:val="24"/>
              </w:rPr>
              <w:t xml:space="preserve"> № 055-</w:t>
            </w:r>
            <w:r w:rsidR="0003296F" w:rsidRPr="00B74768">
              <w:rPr>
                <w:i/>
                <w:sz w:val="24"/>
                <w:szCs w:val="24"/>
              </w:rPr>
              <w:t>4151</w:t>
            </w:r>
            <w:r w:rsidRPr="00B74768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B74768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B74768" w:rsidRDefault="00D21BEC" w:rsidP="00B74768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B74768" w:rsidRDefault="00793BA6" w:rsidP="00B7476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74768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B74768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B74768" w:rsidRDefault="00D21BEC" w:rsidP="00B74768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</w:t>
            </w:r>
            <w:r w:rsidR="005300ED" w:rsidRPr="00B74768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B74768" w:rsidRDefault="00793BA6" w:rsidP="00B7476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B74768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B74768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B74768" w:rsidRPr="00B74768" w14:paraId="3DFE47E3" w14:textId="77777777" w:rsidTr="00FB0B53">
        <w:trPr>
          <w:cantSplit/>
          <w:trHeight w:val="333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B74768" w:rsidRPr="00B74768" w:rsidRDefault="00B74768" w:rsidP="00B74768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B74768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2B0BA993" w:rsidR="00B74768" w:rsidRPr="00B74768" w:rsidRDefault="00B74768" w:rsidP="00B74768">
            <w:pPr>
              <w:pStyle w:val="af1"/>
              <w:ind w:firstLine="177"/>
              <w:jc w:val="both"/>
              <w:rPr>
                <w:bCs/>
                <w:i/>
              </w:rPr>
            </w:pPr>
            <w:r w:rsidRPr="00B74768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у Центральному історичному ареалі міста, в архітектурній та археологічній охоронних зонах, в зоні охоронюваного ландшафту, в археологічному заповіднику – Територія парку-музею «Стародавній Київ» в межах Андріївський узвіз, Замкова гора, гора Дитинка, урочище Гончари та  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Кожум’яки, вул. Велика Житомирська, вул. Смирнова-Ласточкіна, на території Державного історико-архітектурного заповідника «Стародавній Київ», на території </w:t>
            </w:r>
            <w:r w:rsidRPr="00B74768">
              <w:rPr>
                <w:rFonts w:ascii="Times New Roman" w:hAnsi="Times New Roman" w:cs="Times New Roman"/>
                <w:i/>
              </w:rPr>
              <w:t>пам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  археології місцевого значення «Культурний шар ремісничих слобід Гончарі та Кожум’яки Х-ХІХ ст. (урочище  між  горами  Замковою,</w:t>
            </w:r>
          </w:p>
        </w:tc>
      </w:tr>
      <w:tr w:rsidR="00B74768" w:rsidRPr="00B74768" w14:paraId="1102971D" w14:textId="77777777" w:rsidTr="00FB0B53">
        <w:trPr>
          <w:cantSplit/>
          <w:trHeight w:val="12120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56C" w14:textId="77777777" w:rsidR="00B74768" w:rsidRPr="00B74768" w:rsidRDefault="00B74768" w:rsidP="00B74768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6D3D" w14:textId="25FADD57" w:rsidR="00B74768" w:rsidRPr="00B74768" w:rsidRDefault="00B74768" w:rsidP="00B74768">
            <w:pPr>
              <w:pStyle w:val="af1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747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Дитинкою (Кудрявець)», на території </w:t>
            </w:r>
            <w:r w:rsidRPr="00B74768">
              <w:rPr>
                <w:rFonts w:ascii="Times New Roman" w:hAnsi="Times New Roman" w:cs="Times New Roman"/>
                <w:i/>
              </w:rPr>
              <w:t>пам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 ландшафту і історії місцевого значення «Історичний ландшафт Київських гір і долини р. Дніпра», яка визначена науково-проєк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тною документацією «Межі і режими використання зон охорони 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>пам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р. Дніпра» та затверджена наказом Департаменту охорони культурної спадщини виконавчого органу Київської міської ради (Київської міської державної адміністрації) від 24.05.2022 № 23, в межах </w:t>
            </w:r>
            <w:r w:rsidRPr="00B74768">
              <w:rPr>
                <w:rFonts w:ascii="Times New Roman" w:hAnsi="Times New Roman" w:cs="Times New Roman"/>
                <w:i/>
                <w:color w:val="auto"/>
              </w:rPr>
              <w:t>пам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’ятки археології місцевого значення – Культурний шар Подолу ІХ- ХVІІІ ст. (листи Департаменту охорони культурної спадщини виконавчого органу Київської міської ради (Київської міської державної адміністрації) від 09.10.2020 № 066-3631, від 08.05.2024 № 066-1505, Міністерства культури та інформаційної політики України                          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17.12.2021 № 15160/6.11.1)</w:t>
            </w:r>
            <w:r w:rsidR="00CF661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4A29A1B7" w14:textId="77777777" w:rsidR="00B74768" w:rsidRPr="00B74768" w:rsidRDefault="00B74768" w:rsidP="00B74768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B74768">
              <w:rPr>
                <w:rFonts w:ascii="Times New Roman" w:hAnsi="Times New Roman" w:cs="Times New Roman"/>
                <w:i/>
              </w:rPr>
              <w:t xml:space="preserve">  </w:t>
            </w:r>
            <w:r w:rsidRPr="00B7476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3A2DBA54" w14:textId="77777777" w:rsidR="00B74768" w:rsidRPr="00B74768" w:rsidRDefault="00B74768" w:rsidP="00B74768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B74768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75201FC" w14:textId="77777777" w:rsidR="00B74768" w:rsidRPr="00B74768" w:rsidRDefault="00B74768" w:rsidP="00B74768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B74768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B74768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6FAE6917" w14:textId="7022CF60" w:rsidR="00B74768" w:rsidRPr="00B74768" w:rsidRDefault="00B74768" w:rsidP="00B74768">
            <w:pPr>
              <w:pStyle w:val="a5"/>
              <w:spacing w:line="240" w:lineRule="auto"/>
              <w:jc w:val="both"/>
              <w:rPr>
                <w:i/>
                <w:color w:val="auto"/>
              </w:rPr>
            </w:pPr>
            <w:r w:rsidRPr="00B74768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B74768" w:rsidRDefault="00276994" w:rsidP="00EE4209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2C4EEFB8" w:rsidR="009A054D" w:rsidRPr="00B74768" w:rsidRDefault="00EE4209" w:rsidP="00EE4209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 xml:space="preserve"> </w:t>
      </w:r>
      <w:r w:rsidR="009A054D" w:rsidRPr="00B74768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59DB7717" w14:textId="77777777" w:rsidR="00EE4209" w:rsidRPr="00B74768" w:rsidRDefault="00EE4209" w:rsidP="00EE4209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B74768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B74768">
        <w:rPr>
          <w:sz w:val="24"/>
          <w:szCs w:val="24"/>
        </w:rPr>
        <w:br/>
        <w:t>від 20.04.2017 № 241/2463.</w:t>
      </w:r>
    </w:p>
    <w:p w14:paraId="53749102" w14:textId="3599BA22" w:rsidR="00EE4209" w:rsidRPr="00B74768" w:rsidRDefault="00EE4209" w:rsidP="00EE4209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B74768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9EBE9E5" w14:textId="77777777" w:rsidR="00EE4209" w:rsidRPr="00B74768" w:rsidRDefault="00EE4209" w:rsidP="00EE4209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B74768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2A78CCCF" w:rsidR="004E6C43" w:rsidRPr="00B74768" w:rsidRDefault="00EE4209" w:rsidP="00EE4209">
      <w:pPr>
        <w:pStyle w:val="1"/>
        <w:shd w:val="clear" w:color="auto" w:fill="auto"/>
        <w:spacing w:after="0"/>
        <w:ind w:firstLine="425"/>
        <w:jc w:val="both"/>
        <w:rPr>
          <w:color w:val="auto"/>
          <w:sz w:val="24"/>
          <w:szCs w:val="24"/>
        </w:rPr>
      </w:pPr>
      <w:r w:rsidRPr="00B74768">
        <w:rPr>
          <w:sz w:val="24"/>
          <w:szCs w:val="24"/>
        </w:rPr>
        <w:lastRenderedPageBreak/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B74768" w:rsidRDefault="000623E7" w:rsidP="00EE420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6D2349ED" w:rsidR="009A054D" w:rsidRPr="00B74768" w:rsidRDefault="00EE4209" w:rsidP="00EE4209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 xml:space="preserve"> </w:t>
      </w:r>
      <w:r w:rsidR="009A054D" w:rsidRPr="00B74768">
        <w:rPr>
          <w:b/>
          <w:bCs/>
          <w:sz w:val="24"/>
          <w:szCs w:val="24"/>
        </w:rPr>
        <w:t>Фінансово-економічне обґрунтування.</w:t>
      </w:r>
    </w:p>
    <w:p w14:paraId="0F89F9EC" w14:textId="77777777" w:rsidR="00EE4209" w:rsidRPr="00B74768" w:rsidRDefault="00EE4209" w:rsidP="00CF661F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B74768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0EB40DD0" w14:textId="57228209" w:rsidR="00EE4209" w:rsidRPr="00B74768" w:rsidRDefault="00EE4209" w:rsidP="00CF661F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  <w:r w:rsidRPr="00B74768">
        <w:rPr>
          <w:sz w:val="24"/>
          <w:szCs w:val="24"/>
        </w:rPr>
        <w:t xml:space="preserve">Відповідно до Податкового кодексу України, Закону України «Про оренду землі» та </w:t>
      </w:r>
      <w:r w:rsidR="00B74768" w:rsidRPr="00B74768">
        <w:rPr>
          <w:sz w:val="24"/>
          <w:szCs w:val="24"/>
        </w:rPr>
        <w:t>рішення Київської міської ради 05</w:t>
      </w:r>
      <w:r w:rsidRPr="00B74768">
        <w:rPr>
          <w:sz w:val="24"/>
          <w:szCs w:val="24"/>
        </w:rPr>
        <w:t>.12.202</w:t>
      </w:r>
      <w:r w:rsidR="00B74768" w:rsidRPr="00B74768">
        <w:rPr>
          <w:sz w:val="24"/>
          <w:szCs w:val="24"/>
        </w:rPr>
        <w:t>4</w:t>
      </w:r>
      <w:r w:rsidRPr="00B74768">
        <w:rPr>
          <w:sz w:val="24"/>
          <w:szCs w:val="24"/>
        </w:rPr>
        <w:t xml:space="preserve"> № </w:t>
      </w:r>
      <w:r w:rsidR="00B74768" w:rsidRPr="00B74768">
        <w:rPr>
          <w:sz w:val="24"/>
          <w:szCs w:val="24"/>
        </w:rPr>
        <w:t>426</w:t>
      </w:r>
      <w:r w:rsidRPr="00B74768">
        <w:rPr>
          <w:sz w:val="24"/>
          <w:szCs w:val="24"/>
        </w:rPr>
        <w:t>/</w:t>
      </w:r>
      <w:r w:rsidR="00B74768" w:rsidRPr="00B74768">
        <w:rPr>
          <w:sz w:val="24"/>
          <w:szCs w:val="24"/>
        </w:rPr>
        <w:t>10234</w:t>
      </w:r>
      <w:r w:rsidRPr="00B74768">
        <w:rPr>
          <w:sz w:val="24"/>
          <w:szCs w:val="24"/>
        </w:rPr>
        <w:t xml:space="preserve"> «Про бюджет міста Києва на 202</w:t>
      </w:r>
      <w:r w:rsidR="00B74768" w:rsidRPr="00B74768">
        <w:rPr>
          <w:sz w:val="24"/>
          <w:szCs w:val="24"/>
        </w:rPr>
        <w:t>5</w:t>
      </w:r>
      <w:r w:rsidRPr="00B74768">
        <w:rPr>
          <w:sz w:val="24"/>
          <w:szCs w:val="24"/>
        </w:rPr>
        <w:t xml:space="preserve"> рік» орієнтовний розмір річної орендної плати складатиме: </w:t>
      </w:r>
      <w:r w:rsidR="00F56529" w:rsidRPr="00F56529">
        <w:rPr>
          <w:b/>
          <w:sz w:val="24"/>
          <w:szCs w:val="24"/>
        </w:rPr>
        <w:t>8</w:t>
      </w:r>
      <w:r w:rsidR="00F56529">
        <w:rPr>
          <w:b/>
          <w:sz w:val="24"/>
          <w:szCs w:val="24"/>
          <w:lang w:val="en-US"/>
        </w:rPr>
        <w:t> </w:t>
      </w:r>
      <w:r w:rsidR="00F56529">
        <w:rPr>
          <w:b/>
          <w:sz w:val="24"/>
          <w:szCs w:val="24"/>
        </w:rPr>
        <w:t xml:space="preserve">244 грн </w:t>
      </w:r>
      <w:r w:rsidR="00F56529" w:rsidRPr="00F56529">
        <w:rPr>
          <w:b/>
          <w:sz w:val="24"/>
          <w:szCs w:val="24"/>
        </w:rPr>
        <w:t xml:space="preserve">85 </w:t>
      </w:r>
      <w:r w:rsidR="00F56529">
        <w:rPr>
          <w:b/>
          <w:sz w:val="24"/>
          <w:szCs w:val="24"/>
        </w:rPr>
        <w:t>коп</w:t>
      </w:r>
      <w:r w:rsidR="00F56529" w:rsidRPr="00F56529">
        <w:rPr>
          <w:b/>
          <w:sz w:val="24"/>
          <w:szCs w:val="24"/>
        </w:rPr>
        <w:t>.</w:t>
      </w:r>
      <w:r w:rsidR="00F56529" w:rsidRPr="00F56529">
        <w:rPr>
          <w:b/>
          <w:sz w:val="24"/>
          <w:szCs w:val="24"/>
        </w:rPr>
        <w:t xml:space="preserve"> на рік (3%</w:t>
      </w:r>
      <w:r w:rsidRPr="00F56529">
        <w:rPr>
          <w:b/>
          <w:sz w:val="24"/>
          <w:szCs w:val="24"/>
        </w:rPr>
        <w:t>).</w:t>
      </w:r>
      <w:bookmarkStart w:id="0" w:name="_GoBack"/>
      <w:bookmarkEnd w:id="0"/>
    </w:p>
    <w:p w14:paraId="7384468F" w14:textId="77777777" w:rsidR="000623E7" w:rsidRPr="00B74768" w:rsidRDefault="000623E7" w:rsidP="00EE420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5825EDA3" w:rsidR="009A054D" w:rsidRPr="00B74768" w:rsidRDefault="00B74768" w:rsidP="00EE4209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B74768">
        <w:rPr>
          <w:b/>
          <w:bCs/>
          <w:sz w:val="24"/>
          <w:szCs w:val="24"/>
        </w:rPr>
        <w:t xml:space="preserve"> </w:t>
      </w:r>
      <w:r w:rsidR="009A054D" w:rsidRPr="00B74768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190027BF" w:rsidR="009A054D" w:rsidRPr="00B74768" w:rsidRDefault="00EE4209" w:rsidP="00EE420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B74768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170C3D25" w14:textId="77777777" w:rsidR="00D50739" w:rsidRPr="00B74768" w:rsidRDefault="00D50739" w:rsidP="00EE4209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563EE0FE" w:rsidR="008E40D5" w:rsidRPr="00B74768" w:rsidRDefault="009A054D" w:rsidP="00EE4209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B7476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B74768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454A6071" w14:textId="77777777" w:rsidR="00EE4209" w:rsidRPr="00B74768" w:rsidRDefault="00EE4209" w:rsidP="00EE4209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B74768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B74768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B74768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B74768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B74768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B74768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B74768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B74768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01FD" w14:textId="77777777" w:rsidR="00152E4F" w:rsidRDefault="00152E4F">
      <w:r>
        <w:separator/>
      </w:r>
    </w:p>
  </w:endnote>
  <w:endnote w:type="continuationSeparator" w:id="0">
    <w:p w14:paraId="789F61E5" w14:textId="77777777" w:rsidR="00152E4F" w:rsidRDefault="0015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E96E61" w:rsidRPr="001F39F7" w:rsidRDefault="00E96E61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6B94F" w14:textId="77777777" w:rsidR="00152E4F" w:rsidRDefault="00152E4F"/>
  </w:footnote>
  <w:footnote w:type="continuationSeparator" w:id="0">
    <w:p w14:paraId="75EE09F3" w14:textId="77777777" w:rsidR="00152E4F" w:rsidRDefault="00152E4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49A67873" w:rsidR="00E96E61" w:rsidRPr="00AF32F9" w:rsidRDefault="00E96E61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101670">
      <w:rPr>
        <w:rFonts w:ascii="Times New Roman" w:hAnsi="Times New Roman" w:cs="Times New Roman"/>
        <w:i w:val="0"/>
        <w:sz w:val="12"/>
        <w:szCs w:val="12"/>
        <w:lang w:val="ru-RU"/>
      </w:rPr>
      <w:t>ПЗН-76046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101670">
      <w:rPr>
        <w:sz w:val="12"/>
        <w:szCs w:val="12"/>
        <w:lang w:val="ru-RU"/>
      </w:rPr>
      <w:t>24.01.2025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394184153</w:t>
    </w:r>
  </w:p>
  <w:p w14:paraId="725BA2D4" w14:textId="66B62A95" w:rsidR="00E96E61" w:rsidRDefault="00E96E61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56529" w:rsidRPr="00F5652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D3B78" w14:textId="25F8BE98" w:rsidR="00E96E61" w:rsidRPr="00AF32F9" w:rsidRDefault="00E96E61" w:rsidP="00EE4209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101670">
      <w:rPr>
        <w:rFonts w:ascii="Times New Roman" w:hAnsi="Times New Roman" w:cs="Times New Roman"/>
        <w:i w:val="0"/>
        <w:sz w:val="12"/>
        <w:szCs w:val="12"/>
        <w:lang w:val="ru-RU"/>
      </w:rPr>
      <w:t>ПЗН-76046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101670">
      <w:rPr>
        <w:sz w:val="12"/>
        <w:szCs w:val="12"/>
        <w:lang w:val="ru-RU"/>
      </w:rPr>
      <w:t>24.01.2025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394184153</w:t>
    </w:r>
  </w:p>
  <w:p w14:paraId="36A998C2" w14:textId="26A00327" w:rsidR="00E96E61" w:rsidRDefault="00E96E61" w:rsidP="00EE420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125705900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56529" w:rsidRPr="00F5652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25613"/>
    <w:rsid w:val="0003296F"/>
    <w:rsid w:val="00033F98"/>
    <w:rsid w:val="0004012A"/>
    <w:rsid w:val="000547B3"/>
    <w:rsid w:val="000623E7"/>
    <w:rsid w:val="00074B7A"/>
    <w:rsid w:val="0009718B"/>
    <w:rsid w:val="000C1E21"/>
    <w:rsid w:val="000C6F83"/>
    <w:rsid w:val="00101670"/>
    <w:rsid w:val="00105FA6"/>
    <w:rsid w:val="00113A85"/>
    <w:rsid w:val="00132EBC"/>
    <w:rsid w:val="00152E4F"/>
    <w:rsid w:val="00175C2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47B37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0DC7"/>
    <w:rsid w:val="008B1C1B"/>
    <w:rsid w:val="008C440A"/>
    <w:rsid w:val="008E40D5"/>
    <w:rsid w:val="008E73CA"/>
    <w:rsid w:val="008F1609"/>
    <w:rsid w:val="008F1EF4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74768"/>
    <w:rsid w:val="00B936C7"/>
    <w:rsid w:val="00B97F9E"/>
    <w:rsid w:val="00BB725B"/>
    <w:rsid w:val="00BF1F47"/>
    <w:rsid w:val="00BF35C9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CF661F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96E61"/>
    <w:rsid w:val="00EC18FD"/>
    <w:rsid w:val="00EE4209"/>
    <w:rsid w:val="00EE61C9"/>
    <w:rsid w:val="00F07126"/>
    <w:rsid w:val="00F24F9E"/>
    <w:rsid w:val="00F56529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EE42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8784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104</cp:revision>
  <cp:lastPrinted>2025-01-24T13:41:00Z</cp:lastPrinted>
  <dcterms:created xsi:type="dcterms:W3CDTF">2019-02-06T15:49:00Z</dcterms:created>
  <dcterms:modified xsi:type="dcterms:W3CDTF">2025-01-24T13:41:00Z</dcterms:modified>
</cp:coreProperties>
</file>