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7E98C7A7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3"/>
      </w:tblGrid>
      <w:tr w:rsidR="00F6318B" w:rsidRPr="0046750E" w14:paraId="6C1844F6" w14:textId="77777777" w:rsidTr="0046750E">
        <w:trPr>
          <w:trHeight w:val="2500"/>
        </w:trPr>
        <w:tc>
          <w:tcPr>
            <w:tcW w:w="5103" w:type="dxa"/>
            <w:shd w:val="clear" w:color="auto" w:fill="auto"/>
            <w:hideMark/>
          </w:tcPr>
          <w:p w14:paraId="22427F3E" w14:textId="75165385" w:rsidR="00F6318B" w:rsidRPr="00B0502F" w:rsidRDefault="00E2725F" w:rsidP="0046750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6750E">
              <w:rPr>
                <w:b/>
                <w:sz w:val="28"/>
                <w:szCs w:val="28"/>
                <w:highlight w:val="white"/>
                <w:lang w:eastAsia="uk-UA"/>
              </w:rPr>
              <w:t>товариству</w:t>
            </w:r>
            <w:r w:rsidR="0046750E" w:rsidRPr="0046750E">
              <w:rPr>
                <w:b/>
                <w:sz w:val="28"/>
                <w:szCs w:val="28"/>
                <w:highlight w:val="white"/>
                <w:lang w:eastAsia="uk-UA"/>
              </w:rPr>
              <w:t xml:space="preserve"> з обмеженою відповідальністю </w:t>
            </w:r>
            <w:r w:rsidR="0046750E">
              <w:rPr>
                <w:b/>
                <w:sz w:val="28"/>
                <w:szCs w:val="28"/>
                <w:highlight w:val="white"/>
                <w:lang w:eastAsia="uk-UA"/>
              </w:rPr>
              <w:t>«К-Б-К»</w:t>
            </w:r>
            <w:r w:rsidR="00C72FE2" w:rsidRPr="0046750E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46750E">
              <w:rPr>
                <w:b/>
                <w:sz w:val="28"/>
                <w:szCs w:val="28"/>
                <w:lang w:val="uk-UA"/>
              </w:rPr>
              <w:t>их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46750E">
              <w:rPr>
                <w:b/>
                <w:sz w:val="28"/>
                <w:szCs w:val="28"/>
                <w:lang w:val="uk-UA"/>
              </w:rPr>
              <w:t>о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6750E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06</w:t>
            </w:r>
            <w:r w:rsidR="0046750E">
              <w:rPr>
                <w:b/>
                <w:sz w:val="28"/>
                <w:szCs w:val="28"/>
                <w:lang w:val="uk-UA"/>
              </w:rPr>
              <w:t xml:space="preserve"> травня 2010 року № 79-6-00755</w:t>
            </w:r>
            <w:r w:rsidR="006F2296">
              <w:rPr>
                <w:b/>
                <w:sz w:val="28"/>
                <w:szCs w:val="28"/>
                <w:lang w:val="uk-UA"/>
              </w:rPr>
              <w:t xml:space="preserve">  (зі змінами)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для експлуатації та обслуговування адміністративно-виробничих будівель </w:t>
            </w:r>
            <w:r w:rsidR="006F2296">
              <w:rPr>
                <w:b/>
                <w:sz w:val="28"/>
                <w:szCs w:val="28"/>
                <w:lang w:val="uk-UA"/>
              </w:rPr>
              <w:t xml:space="preserve">і споруд товариств 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Новопирогівськ</w:t>
            </w:r>
            <w:r w:rsidR="0046750E">
              <w:rPr>
                <w:b/>
                <w:sz w:val="28"/>
                <w:szCs w:val="28"/>
                <w:lang w:val="uk-UA"/>
              </w:rPr>
              <w:t>ій, 56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Голосіївському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46750E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400058728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0498A9F">
                <v:stroke joinstyle="miter"/>
                <v:path gradientshapeok="t" o:connecttype="rect"/>
              </v:shapetype>
              <v:shape id="Надпись 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>
                <v:textbox style="mso-fit-shape-to-text:t">
                  <w:txbxContent>
                    <w:p w:rsidRPr="00103F8D" w:rsidR="008A6D0F" w:rsidP="00E476B7" w:rsidRDefault="00103F8D" w14:paraId="12AFE333" w14:textId="22F971D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Style w:val="af1"/>
                          <w:i w:val="0"/>
                          <w:lang w:val="en-US"/>
                        </w:rPr>
                        <w:t xml:space="preserve">400058728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50DBFA06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46750E">
        <w:rPr>
          <w:color w:val="000000"/>
          <w:sz w:val="28"/>
          <w:szCs w:val="28"/>
          <w:shd w:val="clear" w:color="auto" w:fill="FFFFFF"/>
          <w:lang w:val="uk-UA"/>
        </w:rPr>
        <w:t>товариства</w:t>
      </w:r>
      <w:r w:rsidR="0046750E" w:rsidRPr="0046750E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</w:t>
      </w:r>
      <w:r w:rsidR="0046750E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«К-Б-К»</w:t>
      </w:r>
      <w:r w:rsidR="0046750E">
        <w:rPr>
          <w:snapToGrid w:val="0"/>
          <w:sz w:val="28"/>
          <w:lang w:val="uk-UA"/>
        </w:rPr>
        <w:t xml:space="preserve"> (код ЄДРПОУ 33097730</w:t>
      </w:r>
      <w:r w:rsidRPr="00DC7BC1">
        <w:rPr>
          <w:snapToGrid w:val="0"/>
          <w:sz w:val="28"/>
          <w:lang w:val="uk-UA"/>
        </w:rPr>
        <w:t xml:space="preserve">, місцезнаходження юридичної особи: </w:t>
      </w:r>
      <w:r w:rsidR="0046750E">
        <w:rPr>
          <w:snapToGrid w:val="0"/>
          <w:sz w:val="28"/>
          <w:lang w:val="uk-UA"/>
        </w:rPr>
        <w:t xml:space="preserve">                                           вул. Новопирогівська, 56, м. Київ</w:t>
      </w:r>
      <w:r w:rsidRPr="00DC7BC1">
        <w:rPr>
          <w:snapToGrid w:val="0"/>
          <w:sz w:val="28"/>
          <w:lang w:val="uk-UA"/>
        </w:rPr>
        <w:t>) від 22 грудня 2023 року № 400058728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>ідповідно до статей 9, 83, 93 Земельного кодексу України, Закону України «Про оренду землі», пункту 34 частини першої статті 26 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561AFBEF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4675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товариству</w:t>
      </w:r>
      <w:r w:rsidR="0046750E" w:rsidRPr="004675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="004675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«К-Б-К»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6750E">
        <w:rPr>
          <w:rFonts w:ascii="Times New Roman" w:hAnsi="Times New Roman"/>
          <w:sz w:val="28"/>
          <w:szCs w:val="28"/>
          <w:lang w:val="uk-UA"/>
        </w:rPr>
        <w:t>10 років договір оренди земельних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>від 06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травня 2010 року № 79-6-00755                             (з урахуванням договору про поновлення договору оренди земельних                             ділянок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від 25 квітня 2019 року № 115) </w:t>
      </w:r>
      <w:r w:rsidR="00B3289E" w:rsidRPr="0046750E">
        <w:rPr>
          <w:rFonts w:ascii="Times New Roman" w:hAnsi="Times New Roman"/>
          <w:sz w:val="28"/>
          <w:szCs w:val="28"/>
          <w:lang w:val="uk-UA"/>
        </w:rPr>
        <w:t>для експлуатації та обслуговування адміністративно-виробничих будівель і споруд товариства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B3289E" w:rsidRPr="004675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46750E" w:rsidRPr="006F22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Новопирогівській</w:t>
      </w:r>
      <w:r w:rsidR="00B3289E" w:rsidRPr="006F22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56  у Голосії</w:t>
      </w:r>
      <w:r w:rsidR="0046750E" w:rsidRPr="006F22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46750E">
        <w:rPr>
          <w:rFonts w:ascii="Times New Roman" w:hAnsi="Times New Roman"/>
          <w:sz w:val="28"/>
          <w:szCs w:val="28"/>
          <w:lang w:val="uk-UA"/>
        </w:rPr>
        <w:t>категорія земель –</w:t>
      </w:r>
      <w:r w:rsidR="00B3289E" w:rsidRPr="006F2296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землі промисловості, транспорту, електронних комунікацій, енергетики, оборони та іншого призначення</w:t>
      </w:r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F2296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E72E5B">
        <w:rPr>
          <w:rFonts w:ascii="Times New Roman" w:hAnsi="Times New Roman"/>
          <w:sz w:val="28"/>
          <w:szCs w:val="28"/>
          <w:lang w:val="uk-UA"/>
        </w:rPr>
        <w:t>11.02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6F2296">
        <w:rPr>
          <w:rFonts w:ascii="Times New Roman" w:hAnsi="Times New Roman"/>
          <w:sz w:val="28"/>
          <w:szCs w:val="28"/>
          <w:lang w:val="uk-UA"/>
        </w:rPr>
        <w:t>кадастрові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номер</w:t>
      </w:r>
      <w:r w:rsidR="006F2296">
        <w:rPr>
          <w:rFonts w:ascii="Times New Roman" w:hAnsi="Times New Roman"/>
          <w:sz w:val="28"/>
          <w:szCs w:val="28"/>
          <w:lang w:val="uk-UA"/>
        </w:rPr>
        <w:t>и: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296">
        <w:rPr>
          <w:rFonts w:ascii="Times New Roman" w:hAnsi="Times New Roman"/>
          <w:sz w:val="28"/>
          <w:szCs w:val="28"/>
          <w:lang w:val="uk-UA"/>
        </w:rPr>
        <w:t>8000000000:90:118:0008</w:t>
      </w:r>
      <w:r w:rsidR="00FB2A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296">
        <w:rPr>
          <w:rFonts w:ascii="Times New Roman" w:hAnsi="Times New Roman"/>
          <w:sz w:val="28"/>
          <w:szCs w:val="28"/>
          <w:lang w:val="uk-UA"/>
        </w:rPr>
        <w:t>площею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0E" w:rsidRPr="006F2296">
        <w:rPr>
          <w:rFonts w:ascii="Times New Roman" w:hAnsi="Times New Roman"/>
          <w:sz w:val="28"/>
          <w:szCs w:val="28"/>
          <w:highlight w:val="white"/>
          <w:lang w:val="uk-UA" w:eastAsia="uk-UA"/>
        </w:rPr>
        <w:t>8,8876</w:t>
      </w:r>
      <w:r w:rsidR="006F2296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га</w:t>
      </w:r>
      <w:r w:rsidR="0046750E" w:rsidRPr="006F2296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; </w:t>
      </w:r>
      <w:r w:rsidR="0046750E" w:rsidRPr="006F2296">
        <w:rPr>
          <w:rFonts w:ascii="Times New Roman" w:hAnsi="Times New Roman"/>
          <w:sz w:val="28"/>
          <w:szCs w:val="28"/>
          <w:lang w:val="uk-UA"/>
        </w:rPr>
        <w:t>8000000000:90:118:0200</w:t>
      </w:r>
      <w:r w:rsidR="006F2296">
        <w:rPr>
          <w:rFonts w:ascii="Times New Roman" w:hAnsi="Times New Roman"/>
          <w:sz w:val="28"/>
          <w:szCs w:val="28"/>
          <w:lang w:val="uk-UA"/>
        </w:rPr>
        <w:t xml:space="preserve"> площею</w:t>
      </w:r>
      <w:r w:rsidR="0046750E" w:rsidRPr="006F2296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0,0279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га;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400058728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1EE71BE8" w14:textId="3DF49EBE" w:rsidR="0046750E" w:rsidRDefault="0046750E" w:rsidP="0046750E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7AC200" w14:textId="77777777" w:rsidR="006F2296" w:rsidRDefault="006F2296" w:rsidP="0046750E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C4492" w14:textId="77777777" w:rsidR="003948FA" w:rsidRPr="0046750E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750E">
        <w:rPr>
          <w:rFonts w:ascii="Times New Roman" w:hAnsi="Times New Roman"/>
          <w:sz w:val="28"/>
          <w:szCs w:val="28"/>
          <w:lang w:val="uk-UA"/>
        </w:rPr>
        <w:lastRenderedPageBreak/>
        <w:t>Встановити, що</w:t>
      </w:r>
      <w:r w:rsidR="003948FA" w:rsidRPr="0046750E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03586D78" w:rsidR="003948FA" w:rsidRPr="0046750E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750E">
        <w:rPr>
          <w:rFonts w:ascii="Times New Roman" w:hAnsi="Times New Roman"/>
          <w:sz w:val="28"/>
          <w:szCs w:val="28"/>
          <w:lang w:val="uk-UA"/>
        </w:rPr>
        <w:t>Річна орендна плата, передбачена у підпункті 4.2 пункту 4</w:t>
      </w:r>
      <w:r w:rsidR="0046750E" w:rsidRPr="0046750E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земельних ділянок</w:t>
      </w:r>
      <w:r w:rsidRPr="0046750E">
        <w:rPr>
          <w:rFonts w:ascii="Times New Roman" w:hAnsi="Times New Roman"/>
          <w:sz w:val="28"/>
          <w:szCs w:val="28"/>
          <w:lang w:val="uk-UA"/>
        </w:rPr>
        <w:t xml:space="preserve"> від 06 травня 2010 року №</w:t>
      </w:r>
      <w:r w:rsidR="0046750E" w:rsidRPr="0046750E">
        <w:rPr>
          <w:rFonts w:ascii="Times New Roman" w:hAnsi="Times New Roman"/>
          <w:sz w:val="28"/>
          <w:szCs w:val="28"/>
          <w:lang w:val="uk-UA"/>
        </w:rPr>
        <w:t xml:space="preserve"> 79-6-00755 (зі змінами)</w:t>
      </w:r>
      <w:r w:rsidRPr="0046750E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4B44724A" w:rsidR="003948FA" w:rsidRPr="0046750E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750E">
        <w:rPr>
          <w:rFonts w:ascii="Times New Roman" w:hAnsi="Times New Roman"/>
          <w:sz w:val="28"/>
          <w:szCs w:val="28"/>
          <w:lang w:val="uk-UA"/>
        </w:rPr>
        <w:t>Інші</w:t>
      </w:r>
      <w:r w:rsidR="0046750E" w:rsidRPr="0046750E">
        <w:rPr>
          <w:rFonts w:ascii="Times New Roman" w:hAnsi="Times New Roman"/>
          <w:sz w:val="28"/>
          <w:szCs w:val="28"/>
          <w:lang w:val="uk-UA"/>
        </w:rPr>
        <w:t xml:space="preserve"> умови договору оренди земельних ділянок</w:t>
      </w:r>
      <w:r w:rsidRPr="0046750E">
        <w:rPr>
          <w:rFonts w:ascii="Times New Roman" w:hAnsi="Times New Roman"/>
          <w:sz w:val="28"/>
          <w:szCs w:val="28"/>
          <w:lang w:val="uk-UA"/>
        </w:rPr>
        <w:t xml:space="preserve"> від 06</w:t>
      </w:r>
      <w:r w:rsidR="0046750E" w:rsidRPr="0046750E">
        <w:rPr>
          <w:rFonts w:ascii="Times New Roman" w:hAnsi="Times New Roman"/>
          <w:sz w:val="28"/>
          <w:szCs w:val="28"/>
          <w:lang w:val="uk-UA"/>
        </w:rPr>
        <w:t xml:space="preserve"> травня 2010 року № 79-6-00755 (зі змінами)</w:t>
      </w:r>
      <w:r w:rsidRPr="0046750E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7083221D" w:rsidR="00BB5AA4" w:rsidRPr="0046750E" w:rsidRDefault="0046750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750E">
        <w:rPr>
          <w:rFonts w:ascii="Times New Roman" w:hAnsi="Times New Roman"/>
          <w:sz w:val="28"/>
          <w:szCs w:val="28"/>
          <w:lang w:val="uk-UA"/>
        </w:rPr>
        <w:t>Т</w:t>
      </w:r>
      <w:r w:rsidRPr="0046750E">
        <w:rPr>
          <w:rFonts w:ascii="Times New Roman" w:hAnsi="Times New Roman"/>
          <w:sz w:val="28"/>
          <w:szCs w:val="28"/>
        </w:rPr>
        <w:t>овариству з обмеженою відповідальністю «К-Б-К»</w:t>
      </w:r>
      <w:r w:rsidR="00BB5AA4" w:rsidRPr="0046750E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46750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007DD87C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750E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46750E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46750E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4675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46750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C33F7" w:rsidRPr="0046750E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4675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46750E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>, необхідні для підготовки проєкту договору про укл</w:t>
      </w:r>
      <w:r w:rsidR="0046750E">
        <w:rPr>
          <w:rFonts w:ascii="Times New Roman" w:hAnsi="Times New Roman"/>
          <w:sz w:val="28"/>
          <w:szCs w:val="28"/>
          <w:lang w:val="uk-UA"/>
        </w:rPr>
        <w:t>адення договору оренди земельних ділянок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від 06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 травня 2010 року                                   № 79-6-00755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19413771" w:rsidR="00BB5AA4" w:rsidRPr="00616759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</w:t>
      </w:r>
      <w:r w:rsidR="0046750E">
        <w:rPr>
          <w:rFonts w:ascii="Times New Roman" w:hAnsi="Times New Roman"/>
          <w:sz w:val="28"/>
          <w:szCs w:val="28"/>
          <w:lang w:val="uk-UA"/>
        </w:rPr>
        <w:t>бмежень у використанні земельних ділянок</w:t>
      </w:r>
      <w:r w:rsidRPr="00BB5AA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6750E">
        <w:rPr>
          <w:rFonts w:ascii="Times New Roman" w:hAnsi="Times New Roman"/>
          <w:sz w:val="28"/>
          <w:szCs w:val="28"/>
          <w:lang w:val="uk-UA"/>
        </w:rPr>
        <w:t>встановлених</w:t>
      </w:r>
      <w:r w:rsidRPr="00BB5AA4">
        <w:rPr>
          <w:rFonts w:ascii="Times New Roman" w:hAnsi="Times New Roman"/>
          <w:sz w:val="28"/>
          <w:szCs w:val="28"/>
          <w:lang w:val="uk-UA"/>
        </w:rPr>
        <w:t xml:space="preserve"> законодавством </w:t>
      </w:r>
      <w:r w:rsidR="0046750E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BB5AA4">
        <w:rPr>
          <w:rFonts w:ascii="Times New Roman" w:hAnsi="Times New Roman"/>
          <w:sz w:val="28"/>
          <w:szCs w:val="28"/>
          <w:lang w:val="uk-UA"/>
        </w:rPr>
        <w:t>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75F8A82A" w14:textId="540B76B1" w:rsidR="00616759" w:rsidRPr="00562552" w:rsidRDefault="00616759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ED40B5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езперешкодний </w:t>
      </w:r>
      <w:r w:rsidR="00ED40B5">
        <w:rPr>
          <w:rFonts w:ascii="Times New Roman" w:hAnsi="Times New Roman"/>
          <w:sz w:val="28"/>
          <w:szCs w:val="28"/>
          <w:lang w:val="uk-UA"/>
        </w:rPr>
        <w:t xml:space="preserve">прохід/проїзд власнику (балансоутримувачу) нерухомого майна, розташованого на земельній ділянці </w:t>
      </w:r>
      <w:r w:rsidR="007C255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ED40B5">
        <w:rPr>
          <w:rFonts w:ascii="Times New Roman" w:hAnsi="Times New Roman"/>
          <w:sz w:val="28"/>
          <w:szCs w:val="28"/>
          <w:lang w:val="uk-UA"/>
        </w:rPr>
        <w:t xml:space="preserve">з кадастровим номером 8000000000:90:118:0028. </w:t>
      </w:r>
    </w:p>
    <w:p w14:paraId="5A8F2D75" w14:textId="12C36308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>оприлюднення на офіційному вебсайті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8311FF">
        <w:rPr>
          <w:rFonts w:ascii="Times New Roman" w:hAnsi="Times New Roman"/>
          <w:sz w:val="28"/>
          <w:szCs w:val="28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23455" w14:textId="38BB2575" w:rsidR="00FF2729" w:rsidRPr="00893012" w:rsidRDefault="00CD44D5" w:rsidP="00FF2729">
      <w:pPr>
        <w:rPr>
          <w:sz w:val="28"/>
          <w:szCs w:val="28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CB7BE4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E80871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Юрій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865787">
    <w:abstractNumId w:val="13"/>
  </w:num>
  <w:num w:numId="2" w16cid:durableId="1771658716">
    <w:abstractNumId w:val="9"/>
  </w:num>
  <w:num w:numId="3" w16cid:durableId="909653796">
    <w:abstractNumId w:val="12"/>
  </w:num>
  <w:num w:numId="4" w16cid:durableId="28727607">
    <w:abstractNumId w:val="1"/>
  </w:num>
  <w:num w:numId="5" w16cid:durableId="1090734580">
    <w:abstractNumId w:val="10"/>
  </w:num>
  <w:num w:numId="6" w16cid:durableId="350186910">
    <w:abstractNumId w:val="8"/>
  </w:num>
  <w:num w:numId="7" w16cid:durableId="1210799010">
    <w:abstractNumId w:val="5"/>
  </w:num>
  <w:num w:numId="8" w16cid:durableId="470639917">
    <w:abstractNumId w:val="2"/>
  </w:num>
  <w:num w:numId="9" w16cid:durableId="900947969">
    <w:abstractNumId w:val="11"/>
  </w:num>
  <w:num w:numId="10" w16cid:durableId="417872044">
    <w:abstractNumId w:val="0"/>
  </w:num>
  <w:num w:numId="11" w16cid:durableId="1749039098">
    <w:abstractNumId w:val="6"/>
  </w:num>
  <w:num w:numId="12" w16cid:durableId="30225835">
    <w:abstractNumId w:val="4"/>
  </w:num>
  <w:num w:numId="13" w16cid:durableId="577253844">
    <w:abstractNumId w:val="3"/>
  </w:num>
  <w:num w:numId="14" w16cid:durableId="203326557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106930762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92877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6750E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16759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6064"/>
    <w:rsid w:val="006B71FC"/>
    <w:rsid w:val="006C14DB"/>
    <w:rsid w:val="006C22D1"/>
    <w:rsid w:val="006C33D6"/>
    <w:rsid w:val="006C5BDF"/>
    <w:rsid w:val="006C601A"/>
    <w:rsid w:val="006D04A6"/>
    <w:rsid w:val="006D60E0"/>
    <w:rsid w:val="006F2296"/>
    <w:rsid w:val="0070153B"/>
    <w:rsid w:val="0070338D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C255C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12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2E5B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ED40B5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2A4E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4083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Абреу Олена Миколаївна</cp:lastModifiedBy>
  <cp:revision>4</cp:revision>
  <cp:lastPrinted>2024-06-13T13:15:00Z</cp:lastPrinted>
  <dcterms:created xsi:type="dcterms:W3CDTF">2024-06-13T14:11:00Z</dcterms:created>
  <dcterms:modified xsi:type="dcterms:W3CDTF">2024-07-05T05:22:00Z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