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2841D8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77777777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кадастрової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462413835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77777777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кадастрової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462413835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41D8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2841D8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1278A068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1D8">
        <w:rPr>
          <w:b/>
          <w:bCs/>
          <w:i w:val="0"/>
          <w:iCs w:val="0"/>
          <w:sz w:val="24"/>
          <w:szCs w:val="24"/>
          <w:lang w:val="ru-RU"/>
        </w:rPr>
        <w:t xml:space="preserve">№ ПЗН-49447 </w:t>
      </w:r>
      <w:proofErr w:type="spellStart"/>
      <w:r w:rsidRPr="002841D8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2841D8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2841D8">
        <w:rPr>
          <w:b/>
          <w:bCs/>
          <w:i w:val="0"/>
          <w:sz w:val="24"/>
          <w:szCs w:val="24"/>
          <w:lang w:val="ru-RU"/>
        </w:rPr>
        <w:t>18.01.2023</w:t>
      </w:r>
    </w:p>
    <w:p w14:paraId="32B0654E" w14:textId="77777777" w:rsidR="008347CC" w:rsidRPr="00D83BE9" w:rsidRDefault="008347CC" w:rsidP="008347CC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342B2632" w14:textId="70C9616D" w:rsidR="008347CC" w:rsidRPr="00433810" w:rsidRDefault="008347CC" w:rsidP="008347CC">
      <w:pPr>
        <w:pStyle w:val="a4"/>
        <w:shd w:val="clear" w:color="auto" w:fill="auto"/>
        <w:spacing w:line="266" w:lineRule="auto"/>
        <w:ind w:right="2268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1A36BC" w:rsidRPr="001A36BC">
        <w:rPr>
          <w:rFonts w:eastAsia="Georgia"/>
          <w:b/>
          <w:i/>
          <w:iCs/>
          <w:sz w:val="24"/>
          <w:szCs w:val="24"/>
          <w:lang w:val="ru-RU"/>
        </w:rPr>
        <w:t>КОМУНАЛЬНОМУ ПІДПРИЄМСТВУ ВИКОНАВЧОГО ОРГАНУ КИЇВРАДИ (КИЇВСЬКОЇ МІСЬКОЇ ДЕРЖАВНОЇ АДМІНІСТРАЦІЇ) «КИЇВТЕПЛОЕНЕРГО»</w:t>
      </w:r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для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будівлі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індивідуального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теплового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пункту на </w:t>
      </w:r>
      <w:proofErr w:type="spellStart"/>
      <w:r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>
        <w:rPr>
          <w:rFonts w:eastAsia="Georgia"/>
          <w:b/>
          <w:i/>
          <w:iCs/>
          <w:sz w:val="24"/>
          <w:szCs w:val="24"/>
          <w:lang w:val="ru-RU"/>
        </w:rPr>
        <w:t>.</w:t>
      </w:r>
      <w:r w:rsidR="001A36BC">
        <w:rPr>
          <w:rFonts w:eastAsia="Georgia"/>
          <w:b/>
          <w:i/>
          <w:iCs/>
          <w:sz w:val="24"/>
          <w:szCs w:val="24"/>
          <w:lang w:val="ru-RU"/>
        </w:rPr>
        <w:t> </w:t>
      </w:r>
      <w:r>
        <w:rPr>
          <w:rFonts w:eastAsia="Georgia"/>
          <w:b/>
          <w:i/>
          <w:iCs/>
          <w:sz w:val="24"/>
          <w:szCs w:val="24"/>
          <w:lang w:val="ru-RU"/>
        </w:rPr>
        <w:t>Щусєва,12-А</w:t>
      </w:r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Шевченківському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164F8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164F85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8347CC" w:rsidRPr="00CF2418" w14:paraId="142814EF" w14:textId="77777777" w:rsidTr="00AB6376">
        <w:trPr>
          <w:cantSplit/>
          <w:trHeight w:val="931"/>
        </w:trPr>
        <w:tc>
          <w:tcPr>
            <w:tcW w:w="3266" w:type="dxa"/>
          </w:tcPr>
          <w:p w14:paraId="3A99CB7A" w14:textId="77777777" w:rsidR="008347CC" w:rsidRPr="00CF2418" w:rsidRDefault="008347CC" w:rsidP="008347CC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362ED4D1" w:rsidR="008347CC" w:rsidRPr="00433810" w:rsidRDefault="008347CC" w:rsidP="008347C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Комунальне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підприємство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виконавчого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органу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Київради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(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Київської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міської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державної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адміністратиції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>) «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Київтеплоенерго</w:t>
            </w:r>
            <w:proofErr w:type="spellEnd"/>
            <w:r w:rsidRPr="00433810">
              <w:rPr>
                <w:b w:val="0"/>
                <w:i/>
                <w:sz w:val="24"/>
                <w:szCs w:val="24"/>
              </w:rPr>
              <w:t>»</w:t>
            </w:r>
          </w:p>
        </w:tc>
      </w:tr>
      <w:tr w:rsidR="008347CC" w:rsidRPr="00CF2418" w14:paraId="095E8B0B" w14:textId="77777777" w:rsidTr="005C6986">
        <w:trPr>
          <w:cantSplit/>
          <w:trHeight w:val="773"/>
        </w:trPr>
        <w:tc>
          <w:tcPr>
            <w:tcW w:w="3266" w:type="dxa"/>
          </w:tcPr>
          <w:p w14:paraId="60B7E346" w14:textId="77777777" w:rsidR="008347CC" w:rsidRPr="00FB5D25" w:rsidRDefault="008347CC" w:rsidP="008347CC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A60BE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4A1AA95A" w:rsidR="008347CC" w:rsidRPr="005C6986" w:rsidRDefault="008347CC" w:rsidP="005C6986">
            <w:pPr>
              <w:pStyle w:val="a7"/>
              <w:ind w:hanging="113"/>
              <w:rPr>
                <w:b w:val="0"/>
                <w:sz w:val="16"/>
                <w:szCs w:val="16"/>
                <w:lang w:val="ru-RU"/>
              </w:rPr>
            </w:pPr>
            <w:r w:rsidRPr="008347CC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  <w:r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</w:tc>
        <w:tc>
          <w:tcPr>
            <w:tcW w:w="6090" w:type="dxa"/>
          </w:tcPr>
          <w:p w14:paraId="3DA72B92" w14:textId="77777777" w:rsidR="008347CC" w:rsidRPr="00BC4619" w:rsidRDefault="008347CC" w:rsidP="008347C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BC4619">
              <w:rPr>
                <w:b w:val="0"/>
                <w:i/>
                <w:sz w:val="24"/>
                <w:szCs w:val="24"/>
                <w:lang w:val="ru-RU"/>
              </w:rPr>
              <w:t>Київська</w:t>
            </w:r>
            <w:proofErr w:type="spellEnd"/>
            <w:r w:rsidRPr="00BC461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4619">
              <w:rPr>
                <w:b w:val="0"/>
                <w:i/>
                <w:sz w:val="24"/>
                <w:szCs w:val="24"/>
                <w:lang w:val="ru-RU"/>
              </w:rPr>
              <w:t>міська</w:t>
            </w:r>
            <w:proofErr w:type="spellEnd"/>
            <w:r w:rsidRPr="00BC4619">
              <w:rPr>
                <w:b w:val="0"/>
                <w:i/>
                <w:sz w:val="24"/>
                <w:szCs w:val="24"/>
                <w:lang w:val="ru-RU"/>
              </w:rPr>
              <w:t xml:space="preserve"> рада</w:t>
            </w:r>
          </w:p>
          <w:p w14:paraId="71B35F5E" w14:textId="513F4B1E" w:rsidR="008347CC" w:rsidRPr="00433810" w:rsidRDefault="008347CC" w:rsidP="008347CC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BC4619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BC4619">
              <w:rPr>
                <w:b w:val="0"/>
                <w:i/>
                <w:sz w:val="24"/>
                <w:szCs w:val="24"/>
                <w:lang w:val="ru-RU"/>
              </w:rPr>
              <w:t xml:space="preserve">, 01044, м. </w:t>
            </w:r>
            <w:proofErr w:type="spellStart"/>
            <w:r w:rsidRPr="00BC4619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BC4619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4619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BC4619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E52D4">
              <w:rPr>
                <w:b w:val="0"/>
                <w:i/>
                <w:sz w:val="24"/>
                <w:szCs w:val="24"/>
              </w:rPr>
              <w:t>Хрещатик</w:t>
            </w:r>
            <w:proofErr w:type="spellEnd"/>
            <w:r w:rsidRPr="00DE52D4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DE52D4">
              <w:rPr>
                <w:b w:val="0"/>
                <w:i/>
                <w:sz w:val="24"/>
                <w:szCs w:val="24"/>
              </w:rPr>
              <w:t>буд</w:t>
            </w:r>
            <w:proofErr w:type="spellEnd"/>
            <w:r w:rsidRPr="00DE52D4">
              <w:rPr>
                <w:b w:val="0"/>
                <w:i/>
                <w:sz w:val="24"/>
                <w:szCs w:val="24"/>
              </w:rPr>
              <w:t>. 36</w:t>
            </w:r>
          </w:p>
        </w:tc>
      </w:tr>
      <w:tr w:rsidR="008347CC" w:rsidRPr="00CF2418" w14:paraId="1370FA12" w14:textId="77777777" w:rsidTr="005C6986">
        <w:trPr>
          <w:cantSplit/>
          <w:trHeight w:val="699"/>
        </w:trPr>
        <w:tc>
          <w:tcPr>
            <w:tcW w:w="3266" w:type="dxa"/>
          </w:tcPr>
          <w:p w14:paraId="0B08DC12" w14:textId="77777777" w:rsidR="008347CC" w:rsidRDefault="008347CC" w:rsidP="008347CC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8347C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6DEF656B" w14:textId="77777777" w:rsidR="008347CC" w:rsidRPr="002E6951" w:rsidRDefault="008347CC" w:rsidP="008347CC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  <w:r w:rsidRPr="00B30291">
              <w:rPr>
                <w:b w:val="0"/>
                <w:sz w:val="16"/>
                <w:szCs w:val="16"/>
                <w:lang w:val="ru-RU"/>
              </w:rPr>
              <w:t>*</w:t>
            </w:r>
          </w:p>
          <w:p w14:paraId="1412B3A2" w14:textId="77777777" w:rsidR="008347CC" w:rsidRPr="00B30291" w:rsidRDefault="008347CC" w:rsidP="008347CC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090" w:type="dxa"/>
          </w:tcPr>
          <w:p w14:paraId="2C8207C6" w14:textId="7D9CBF12" w:rsidR="008347CC" w:rsidRPr="00433810" w:rsidRDefault="008347CC" w:rsidP="008347CC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uk-UA"/>
              </w:rPr>
              <w:t>в</w:t>
            </w: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ідсутній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06.01.2023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462413835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BC2CA83" w14:textId="77777777" w:rsidR="00AB6376" w:rsidRDefault="002E6951" w:rsidP="002E6951">
      <w:pPr>
        <w:pStyle w:val="a7"/>
        <w:shd w:val="clear" w:color="auto" w:fill="auto"/>
        <w:ind w:left="353" w:hanging="211"/>
        <w:rPr>
          <w:b w:val="0"/>
          <w:lang w:val="ru-RU"/>
        </w:rPr>
      </w:pPr>
      <w:r w:rsidRPr="00B30291">
        <w:rPr>
          <w:b w:val="0"/>
          <w:sz w:val="16"/>
          <w:szCs w:val="16"/>
          <w:lang w:val="ru-RU"/>
        </w:rPr>
        <w:t>*</w:t>
      </w:r>
      <w:r w:rsidRPr="002E6951">
        <w:rPr>
          <w:b w:val="0"/>
          <w:lang w:val="ru-RU"/>
        </w:rPr>
        <w:t xml:space="preserve">за </w:t>
      </w:r>
      <w:proofErr w:type="spellStart"/>
      <w:r w:rsidRPr="002E6951">
        <w:rPr>
          <w:b w:val="0"/>
          <w:lang w:val="ru-RU"/>
        </w:rPr>
        <w:t>даними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Єдиного</w:t>
      </w:r>
      <w:proofErr w:type="spellEnd"/>
      <w:r w:rsidRPr="002E6951">
        <w:rPr>
          <w:b w:val="0"/>
          <w:lang w:val="ru-RU"/>
        </w:rPr>
        <w:t xml:space="preserve"> державного </w:t>
      </w:r>
      <w:proofErr w:type="spellStart"/>
      <w:r w:rsidRPr="002E6951">
        <w:rPr>
          <w:b w:val="0"/>
          <w:lang w:val="ru-RU"/>
        </w:rPr>
        <w:t>реєстру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юридичних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осіб</w:t>
      </w:r>
      <w:proofErr w:type="spellEnd"/>
      <w:r w:rsidRPr="002E6951">
        <w:rPr>
          <w:b w:val="0"/>
          <w:lang w:val="ru-RU"/>
        </w:rPr>
        <w:t xml:space="preserve">, </w:t>
      </w:r>
      <w:proofErr w:type="spellStart"/>
      <w:r w:rsidRPr="002E6951">
        <w:rPr>
          <w:b w:val="0"/>
          <w:lang w:val="ru-RU"/>
        </w:rPr>
        <w:t>фізичних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осіб</w:t>
      </w:r>
      <w:proofErr w:type="spellEnd"/>
      <w:r w:rsidRPr="002E6951">
        <w:rPr>
          <w:b w:val="0"/>
          <w:lang w:val="ru-RU"/>
        </w:rPr>
        <w:t xml:space="preserve">- </w:t>
      </w:r>
      <w:proofErr w:type="spellStart"/>
      <w:r w:rsidRPr="002E6951">
        <w:rPr>
          <w:b w:val="0"/>
          <w:lang w:val="ru-RU"/>
        </w:rPr>
        <w:t>підприємців</w:t>
      </w:r>
      <w:proofErr w:type="spellEnd"/>
      <w:r w:rsidRPr="002E6951">
        <w:rPr>
          <w:b w:val="0"/>
          <w:lang w:val="ru-RU"/>
        </w:rPr>
        <w:t xml:space="preserve"> та </w:t>
      </w:r>
      <w:proofErr w:type="spellStart"/>
      <w:r w:rsidRPr="002E6951">
        <w:rPr>
          <w:b w:val="0"/>
          <w:lang w:val="ru-RU"/>
        </w:rPr>
        <w:t>громадських</w:t>
      </w:r>
      <w:proofErr w:type="spellEnd"/>
      <w:r w:rsidRPr="002E6951">
        <w:rPr>
          <w:b w:val="0"/>
          <w:lang w:val="ru-RU"/>
        </w:rPr>
        <w:t xml:space="preserve"> </w:t>
      </w:r>
      <w:proofErr w:type="spellStart"/>
      <w:r w:rsidRPr="002E6951">
        <w:rPr>
          <w:b w:val="0"/>
          <w:lang w:val="ru-RU"/>
        </w:rPr>
        <w:t>формувань</w:t>
      </w:r>
      <w:proofErr w:type="spellEnd"/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77777777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земельну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ділянку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кадастровий</w:t>
      </w:r>
      <w:proofErr w:type="spellEnd"/>
      <w:r w:rsidRPr="00B30291">
        <w:rPr>
          <w:sz w:val="24"/>
          <w:szCs w:val="24"/>
          <w:lang w:val="ru-RU"/>
        </w:rPr>
        <w:t xml:space="preserve"> № </w:t>
      </w:r>
      <w:r w:rsidRPr="008347CC">
        <w:rPr>
          <w:sz w:val="24"/>
          <w:szCs w:val="24"/>
          <w:lang w:val="ru-RU"/>
        </w:rPr>
        <w:t>8000000000:91:031:0003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14:paraId="0F887576" w14:textId="77777777" w:rsidTr="003141C9">
        <w:trPr>
          <w:trHeight w:hRule="exact" w:val="329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433810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8347CC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8347CC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8347CC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8347CC">
              <w:rPr>
                <w:i/>
                <w:iCs/>
                <w:sz w:val="24"/>
                <w:szCs w:val="24"/>
                <w:lang w:val="ru-RU"/>
              </w:rPr>
              <w:t>Шевченківський</w:t>
            </w:r>
            <w:proofErr w:type="spellEnd"/>
            <w:r w:rsidRPr="008347CC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347CC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8347CC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Щусєва</w:t>
            </w:r>
            <w:proofErr w:type="spellEnd"/>
            <w:r w:rsidRPr="00433810">
              <w:rPr>
                <w:i/>
                <w:iCs/>
                <w:sz w:val="24"/>
                <w:szCs w:val="24"/>
              </w:rPr>
              <w:t xml:space="preserve">, 12-А </w:t>
            </w:r>
          </w:p>
        </w:tc>
      </w:tr>
      <w:tr w:rsidR="00AB6376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433810" w:rsidRDefault="00AB6376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433810">
              <w:rPr>
                <w:rFonts w:eastAsiaTheme="minorHAnsi"/>
                <w:i/>
                <w:sz w:val="24"/>
                <w:szCs w:val="24"/>
                <w:highlight w:val="white"/>
              </w:rPr>
              <w:t>0,0187</w:t>
            </w:r>
            <w:r w:rsidRPr="0043381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3810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AB6376" w14:paraId="2123D0C7" w14:textId="77777777" w:rsidTr="003141C9">
        <w:trPr>
          <w:trHeight w:hRule="exact" w:val="295"/>
        </w:trPr>
        <w:tc>
          <w:tcPr>
            <w:tcW w:w="3260" w:type="dxa"/>
            <w:shd w:val="clear" w:color="auto" w:fill="FFFFFF"/>
            <w:vAlign w:val="bottom"/>
          </w:tcPr>
          <w:p w14:paraId="6CDD104A" w14:textId="29125C7C" w:rsidR="00AB6376" w:rsidRPr="00726D1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Вид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та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термін</w:t>
            </w:r>
            <w:proofErr w:type="spellEnd"/>
            <w:r w:rsidR="00AB6376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726D11">
              <w:rPr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100" w:type="dxa"/>
            <w:shd w:val="clear" w:color="auto" w:fill="FFFFFF"/>
          </w:tcPr>
          <w:p w14:paraId="77C6CFEE" w14:textId="77777777" w:rsidR="00AB6376" w:rsidRPr="00433810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8347CC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Pr="008347CC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47CC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AB6376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</w:t>
            </w:r>
            <w:r w:rsidR="001774CA" w:rsidRPr="001774CA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482C7467" w:rsidR="00AB6376" w:rsidRPr="008347CC" w:rsidRDefault="008347CC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землі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промисловості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, транспорту,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електронних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комунікацій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енергетики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, оборони та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іншого</w:t>
            </w:r>
            <w:proofErr w:type="spellEnd"/>
            <w:r w:rsidRPr="002760E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60E2">
              <w:rPr>
                <w:i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</w:tr>
      <w:tr w:rsidR="00AB6376" w14:paraId="759231D0" w14:textId="77777777" w:rsidTr="00E164C6">
        <w:trPr>
          <w:trHeight w:hRule="exact" w:val="1414"/>
        </w:trPr>
        <w:tc>
          <w:tcPr>
            <w:tcW w:w="3260" w:type="dxa"/>
            <w:shd w:val="clear" w:color="auto" w:fill="FFFFFF"/>
          </w:tcPr>
          <w:p w14:paraId="264D090A" w14:textId="77777777" w:rsidR="00AB6376" w:rsidRPr="00B30291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8347CC">
              <w:rPr>
                <w:sz w:val="24"/>
                <w:szCs w:val="24"/>
                <w:lang w:val="ru-RU"/>
              </w:rPr>
              <w:t xml:space="preserve"> </w:t>
            </w:r>
            <w:r w:rsidR="00AB6376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32D02117" w14:textId="2939844A" w:rsidR="00D83BE9" w:rsidRPr="00E164C6" w:rsidRDefault="00AB6376" w:rsidP="00741106">
            <w:pPr>
              <w:pStyle w:val="a4"/>
              <w:shd w:val="clear" w:color="auto" w:fill="auto"/>
              <w:rPr>
                <w:i/>
                <w:iCs/>
                <w:sz w:val="24"/>
                <w:szCs w:val="24"/>
                <w:lang w:val="uk-UA"/>
              </w:rPr>
            </w:pPr>
            <w:r w:rsidRPr="008347CC">
              <w:rPr>
                <w:i/>
                <w:sz w:val="24"/>
                <w:szCs w:val="24"/>
                <w:highlight w:val="white"/>
                <w:lang w:val="uk-UA"/>
              </w:rPr>
              <w:t>11.04</w:t>
            </w:r>
            <w:r w:rsidRPr="008347CC">
              <w:rPr>
                <w:rStyle w:val="ac"/>
                <w:sz w:val="24"/>
                <w:szCs w:val="24"/>
                <w:lang w:val="uk-UA"/>
              </w:rPr>
              <w:t xml:space="preserve">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  <w:bookmarkStart w:id="0" w:name="_GoBack"/>
            <w:bookmarkEnd w:id="0"/>
          </w:p>
        </w:tc>
      </w:tr>
      <w:tr w:rsidR="00AB6376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494276" w:rsidRDefault="00FB5D25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  <w:r w:rsidRPr="00494276">
              <w:rPr>
                <w:rStyle w:val="ac"/>
                <w:lang w:val="uk-UA"/>
              </w:rPr>
              <w:t xml:space="preserve"> </w:t>
            </w:r>
            <w:r w:rsidR="00AB6376" w:rsidRPr="00494276">
              <w:rPr>
                <w:i/>
                <w:iCs/>
                <w:sz w:val="24"/>
                <w:szCs w:val="24"/>
                <w:lang w:val="uk-UA"/>
              </w:rPr>
              <w:t xml:space="preserve">Нормативна грошова оцінка </w:t>
            </w:r>
            <w:r w:rsidR="00AB6376" w:rsidRPr="00494276">
              <w:rPr>
                <w:i/>
                <w:iCs/>
                <w:sz w:val="24"/>
                <w:szCs w:val="24"/>
                <w:lang w:val="uk-UA"/>
              </w:rPr>
              <w:br/>
            </w:r>
            <w:r w:rsidRPr="00494276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AB6376" w:rsidRPr="00494276">
              <w:rPr>
                <w:i/>
                <w:iCs/>
                <w:sz w:val="24"/>
                <w:szCs w:val="24"/>
                <w:lang w:val="uk-UA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6697C663" w:rsidR="00AB6376" w:rsidRPr="00D80268" w:rsidRDefault="00494276" w:rsidP="00AB6376">
            <w:pPr>
              <w:pStyle w:val="a4"/>
              <w:rPr>
                <w:rStyle w:val="ac"/>
                <w:b/>
                <w:sz w:val="24"/>
                <w:szCs w:val="24"/>
                <w:lang w:val="uk-UA"/>
              </w:rPr>
            </w:pPr>
            <w:r w:rsidRPr="00D80268">
              <w:rPr>
                <w:rStyle w:val="ac"/>
                <w:b/>
                <w:sz w:val="24"/>
                <w:szCs w:val="24"/>
                <w:lang w:val="uk-UA"/>
              </w:rPr>
              <w:t>255 138 грн</w:t>
            </w:r>
            <w:r w:rsidR="00F33F92">
              <w:rPr>
                <w:rStyle w:val="ac"/>
                <w:b/>
                <w:sz w:val="24"/>
                <w:szCs w:val="24"/>
                <w:lang w:val="uk-UA"/>
              </w:rPr>
              <w:t>.</w:t>
            </w:r>
            <w:r w:rsidR="00AB6376" w:rsidRPr="00D80268">
              <w:rPr>
                <w:rStyle w:val="ac"/>
                <w:b/>
                <w:sz w:val="24"/>
                <w:szCs w:val="24"/>
                <w:lang w:val="uk-UA"/>
              </w:rPr>
              <w:t xml:space="preserve"> </w:t>
            </w:r>
            <w:r w:rsidRPr="00D80268">
              <w:rPr>
                <w:rStyle w:val="ac"/>
                <w:b/>
                <w:sz w:val="24"/>
                <w:szCs w:val="24"/>
                <w:lang w:val="uk-UA"/>
              </w:rPr>
              <w:t>28</w:t>
            </w:r>
            <w:r w:rsidR="00AB6376" w:rsidRPr="00D80268">
              <w:rPr>
                <w:rStyle w:val="ac"/>
                <w:b/>
                <w:sz w:val="24"/>
                <w:szCs w:val="24"/>
                <w:lang w:val="uk-UA"/>
              </w:rPr>
              <w:t xml:space="preserve"> коп.</w:t>
            </w:r>
          </w:p>
        </w:tc>
      </w:tr>
      <w:tr w:rsidR="00AB6376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FB5D25" w:rsidRDefault="00FB5D25" w:rsidP="00741106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="00AB6376"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AB6376" w:rsidRPr="00B30291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="00AB6376"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6C12829D" w14:textId="77777777" w:rsidR="008347CC" w:rsidRPr="007D7C2E" w:rsidRDefault="008347CC" w:rsidP="00D618AD">
      <w:pPr>
        <w:pStyle w:val="1"/>
        <w:ind w:firstLine="567"/>
        <w:jc w:val="both"/>
        <w:rPr>
          <w:i w:val="0"/>
          <w:sz w:val="24"/>
          <w:szCs w:val="24"/>
          <w:lang w:val="uk-UA"/>
        </w:rPr>
      </w:pPr>
      <w:r w:rsidRPr="007D7C2E">
        <w:rPr>
          <w:i w:val="0"/>
          <w:sz w:val="24"/>
          <w:szCs w:val="24"/>
          <w:lang w:val="uk-UA"/>
        </w:rPr>
        <w:t>На замовлення зацікавленої особи та враховуючи рішення К</w:t>
      </w:r>
      <w:r>
        <w:rPr>
          <w:i w:val="0"/>
          <w:sz w:val="24"/>
          <w:szCs w:val="24"/>
          <w:lang w:val="uk-UA"/>
        </w:rPr>
        <w:t xml:space="preserve">иївської міської ради </w:t>
      </w:r>
      <w:r w:rsidRPr="007D7C2E">
        <w:rPr>
          <w:i w:val="0"/>
          <w:sz w:val="24"/>
          <w:szCs w:val="24"/>
          <w:lang w:val="uk-UA"/>
        </w:rPr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49C7ADA2" w14:textId="578F0E73" w:rsidR="00AB6376" w:rsidRDefault="008347CC" w:rsidP="008347CC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7D7C2E">
        <w:rPr>
          <w:i w:val="0"/>
          <w:sz w:val="24"/>
          <w:szCs w:val="24"/>
          <w:lang w:val="uk-UA"/>
        </w:rPr>
        <w:t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враховуючи, що земельна ділянка зареєстрована в Державному земельному кадастрі (</w:t>
      </w:r>
      <w:r w:rsidRPr="00637CF0">
        <w:rPr>
          <w:i w:val="0"/>
          <w:sz w:val="24"/>
          <w:szCs w:val="24"/>
          <w:lang w:val="uk-UA"/>
        </w:rPr>
        <w:t>витяг з Державного земельного кад</w:t>
      </w:r>
      <w:r>
        <w:rPr>
          <w:i w:val="0"/>
          <w:sz w:val="24"/>
          <w:szCs w:val="24"/>
          <w:lang w:val="uk-UA"/>
        </w:rPr>
        <w:t xml:space="preserve">астру про земельну ділянку від </w:t>
      </w:r>
      <w:r w:rsidRPr="00494276">
        <w:rPr>
          <w:i w:val="0"/>
          <w:sz w:val="24"/>
          <w:szCs w:val="24"/>
          <w:lang w:val="uk-UA"/>
        </w:rPr>
        <w:t>1</w:t>
      </w:r>
      <w:r w:rsidR="00494276" w:rsidRPr="00494276">
        <w:rPr>
          <w:i w:val="0"/>
          <w:sz w:val="24"/>
          <w:szCs w:val="24"/>
          <w:lang w:val="uk-UA"/>
        </w:rPr>
        <w:t>8</w:t>
      </w:r>
      <w:r w:rsidR="00627D08">
        <w:rPr>
          <w:i w:val="0"/>
          <w:sz w:val="24"/>
          <w:szCs w:val="24"/>
          <w:lang w:val="uk-UA"/>
        </w:rPr>
        <w:t xml:space="preserve">.01.2023 № </w:t>
      </w:r>
      <w:r w:rsidR="00494276" w:rsidRPr="00494276">
        <w:rPr>
          <w:i w:val="0"/>
          <w:sz w:val="24"/>
          <w:szCs w:val="24"/>
          <w:lang w:val="uk-UA"/>
        </w:rPr>
        <w:t>НВ-0000072472023</w:t>
      </w:r>
      <w:r w:rsidRPr="007D7C2E">
        <w:rPr>
          <w:i w:val="0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</w:t>
      </w:r>
      <w:r w:rsidR="003141C9">
        <w:rPr>
          <w:i w:val="0"/>
          <w:sz w:val="24"/>
          <w:szCs w:val="24"/>
          <w:lang w:val="uk-UA"/>
        </w:rPr>
        <w:t xml:space="preserve">розроблено відповідний </w:t>
      </w:r>
      <w:proofErr w:type="spellStart"/>
      <w:r w:rsidR="003141C9">
        <w:rPr>
          <w:i w:val="0"/>
          <w:sz w:val="24"/>
          <w:szCs w:val="24"/>
          <w:lang w:val="uk-UA"/>
        </w:rPr>
        <w:t>проєкт</w:t>
      </w:r>
      <w:proofErr w:type="spellEnd"/>
      <w:r w:rsidR="003141C9">
        <w:rPr>
          <w:i w:val="0"/>
          <w:sz w:val="24"/>
          <w:szCs w:val="24"/>
          <w:lang w:val="uk-UA"/>
        </w:rPr>
        <w:t xml:space="preserve"> рішення Київської міської ради.</w:t>
      </w:r>
    </w:p>
    <w:p w14:paraId="262A2F37" w14:textId="77777777" w:rsidR="003141C9" w:rsidRDefault="003141C9" w:rsidP="008347CC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</w:p>
    <w:p w14:paraId="66A7442D" w14:textId="77777777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77777777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</w:t>
      </w:r>
      <w:r w:rsidRPr="00B30291">
        <w:rPr>
          <w:i w:val="0"/>
          <w:sz w:val="24"/>
          <w:szCs w:val="24"/>
          <w:lang w:val="ru-RU"/>
        </w:rPr>
        <w:t xml:space="preserve">би на </w:t>
      </w:r>
      <w:proofErr w:type="spellStart"/>
      <w:r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Pr="00B30291">
        <w:rPr>
          <w:i w:val="0"/>
          <w:sz w:val="24"/>
          <w:szCs w:val="24"/>
          <w:lang w:val="ru-RU"/>
        </w:rPr>
        <w:t xml:space="preserve"> на землю.</w:t>
      </w:r>
    </w:p>
    <w:p w14:paraId="3038B1D9" w14:textId="3B6217DD" w:rsidR="00AB6376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3D3A4CAE" w14:textId="77777777" w:rsidR="003141C9" w:rsidRPr="00B30291" w:rsidRDefault="003141C9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77777777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ділянки</w:t>
      </w:r>
      <w:proofErr w:type="spellEnd"/>
      <w:r w:rsidRPr="00C7476E">
        <w:rPr>
          <w:sz w:val="24"/>
          <w:szCs w:val="24"/>
        </w:rPr>
        <w:t>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77777777" w:rsidR="00AB6376" w:rsidRPr="00433810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1A9857E9" w:rsidR="00AB6376" w:rsidRPr="00F336A8" w:rsidRDefault="008347CC" w:rsidP="003141C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02B1F">
              <w:rPr>
                <w:rFonts w:ascii="Times New Roman" w:eastAsia="Times New Roman" w:hAnsi="Times New Roman" w:cs="Times New Roman"/>
                <w:i/>
              </w:rPr>
              <w:t>Земельна ділянка забудована будівлею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індивідуального теплового пункту (літ. В) 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загальною площею </w:t>
            </w:r>
            <w:r>
              <w:rPr>
                <w:rFonts w:ascii="Times New Roman" w:eastAsia="Times New Roman" w:hAnsi="Times New Roman" w:cs="Times New Roman"/>
                <w:i/>
              </w:rPr>
              <w:t>57,6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02B1F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 на вул.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Щусєва</w:t>
            </w:r>
            <w:proofErr w:type="spellEnd"/>
            <w:r w:rsidRPr="00BE473E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будинок </w:t>
            </w:r>
            <w:r w:rsidR="005C6986"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2-А </w:t>
            </w:r>
            <w:r w:rsidRPr="00BE473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(реєстраційний номер об’єкта нерухомого майна: </w:t>
            </w:r>
            <w:r>
              <w:rPr>
                <w:rFonts w:ascii="Times New Roman" w:eastAsia="Times New Roman" w:hAnsi="Times New Roman" w:cs="Times New Roman"/>
                <w:i/>
              </w:rPr>
              <w:t>2608083</w:t>
            </w:r>
            <w:r w:rsidR="003141C9"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</w:rPr>
              <w:t>80000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), яка є власністю територіальної громади міста Києва та закріплена на праві господарського відання за </w:t>
            </w:r>
            <w:r w:rsidR="003141C9" w:rsidRPr="003141C9">
              <w:rPr>
                <w:rFonts w:ascii="Times New Roman" w:eastAsia="Times New Roman" w:hAnsi="Times New Roman" w:cs="Times New Roman"/>
                <w:i/>
              </w:rPr>
              <w:t>КОМУНАЛЬН</w:t>
            </w:r>
            <w:r w:rsidR="003141C9">
              <w:rPr>
                <w:rFonts w:ascii="Times New Roman" w:eastAsia="Times New Roman" w:hAnsi="Times New Roman" w:cs="Times New Roman"/>
                <w:i/>
              </w:rPr>
              <w:t>ИМ</w:t>
            </w:r>
            <w:r w:rsidR="003141C9" w:rsidRPr="003141C9">
              <w:rPr>
                <w:rFonts w:ascii="Times New Roman" w:eastAsia="Times New Roman" w:hAnsi="Times New Roman" w:cs="Times New Roman"/>
                <w:i/>
              </w:rPr>
              <w:t xml:space="preserve"> ПІДПРИЄМСТВ</w:t>
            </w:r>
            <w:r w:rsidR="003141C9">
              <w:rPr>
                <w:rFonts w:ascii="Times New Roman" w:eastAsia="Times New Roman" w:hAnsi="Times New Roman" w:cs="Times New Roman"/>
                <w:i/>
              </w:rPr>
              <w:t>ОМ</w:t>
            </w:r>
            <w:r w:rsidR="003141C9" w:rsidRPr="003141C9">
              <w:rPr>
                <w:rFonts w:ascii="Times New Roman" w:eastAsia="Times New Roman" w:hAnsi="Times New Roman" w:cs="Times New Roman"/>
                <w:i/>
              </w:rPr>
              <w:t xml:space="preserve"> ВИКОНАВЧОГО ОРГАНУ КИЇВРАДИ (КИЇВСЬКОЇ МІСЬКОЇ ДЕРЖАВНОЇ АДМІНІСТРАЦІЇ) «КИЇВТЕПЛОЕНЕРГО» 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>відповідно до наказу Департаменту комунальної власності м. Києва виконавчог</w:t>
            </w:r>
            <w:r w:rsidR="005C6986">
              <w:rPr>
                <w:rFonts w:ascii="Times New Roman" w:eastAsia="Times New Roman" w:hAnsi="Times New Roman" w:cs="Times New Roman"/>
                <w:i/>
              </w:rPr>
              <w:t xml:space="preserve">о органу Київської міської ради 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>(Київської міської державної адміністрації)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від 04.05.2018 № 224, право господарського відання зареєстровано в Державному реєстрі речових прав на нерухоме майно </w:t>
            </w:r>
            <w:r w:rsidR="003141C9">
              <w:rPr>
                <w:rFonts w:ascii="Times New Roman" w:eastAsia="Times New Roman" w:hAnsi="Times New Roman" w:cs="Times New Roman"/>
                <w:i/>
              </w:rPr>
              <w:t>29.07.2022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, номер запису про інше речове право: </w:t>
            </w:r>
            <w:r w:rsidR="003141C9">
              <w:rPr>
                <w:rFonts w:ascii="Times New Roman" w:eastAsia="Times New Roman" w:hAnsi="Times New Roman" w:cs="Times New Roman"/>
                <w:i/>
              </w:rPr>
              <w:t>47508210</w:t>
            </w:r>
            <w:r w:rsidRPr="00302B1F">
              <w:rPr>
                <w:rFonts w:ascii="Times New Roman" w:eastAsia="Times New Roman" w:hAnsi="Times New Roman" w:cs="Times New Roman"/>
                <w:i/>
              </w:rPr>
              <w:t xml:space="preserve"> (інформаційна довідка з Державного реєстру речо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вих прав на нерухоме майно </w:t>
            </w:r>
            <w:r w:rsidR="002841D8" w:rsidRPr="002841D8">
              <w:rPr>
                <w:rFonts w:ascii="Times New Roman" w:eastAsia="Times New Roman" w:hAnsi="Times New Roman" w:cs="Times New Roman"/>
                <w:i/>
                <w:color w:val="auto"/>
              </w:rPr>
              <w:t>від 18.01.2023  № 320491562</w:t>
            </w:r>
            <w:r w:rsidRPr="002841D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). </w:t>
            </w:r>
          </w:p>
        </w:tc>
      </w:tr>
      <w:tr w:rsidR="00AB6376" w:rsidRPr="0070402C" w14:paraId="66197205" w14:textId="77777777" w:rsidTr="00A60BE3">
        <w:trPr>
          <w:cantSplit/>
          <w:trHeight w:val="235"/>
        </w:trPr>
        <w:tc>
          <w:tcPr>
            <w:tcW w:w="3260" w:type="dxa"/>
          </w:tcPr>
          <w:p w14:paraId="34656DE1" w14:textId="77777777" w:rsidR="00AB6376" w:rsidRPr="008347CC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8347CC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AB6376" w:rsidRPr="008347CC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096" w:type="dxa"/>
          </w:tcPr>
          <w:p w14:paraId="75FC2B63" w14:textId="35825950" w:rsidR="00AB6376" w:rsidRPr="00A60BE3" w:rsidRDefault="00AB6376" w:rsidP="00C971A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A60BE3">
        <w:trPr>
          <w:cantSplit/>
          <w:trHeight w:val="1389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32685ED1" w14:textId="117C5834" w:rsidR="00AB6376" w:rsidRPr="00F336A8" w:rsidRDefault="00AB6376" w:rsidP="0043381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433810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, затвердженого рішенням Київської міської ради</w:t>
            </w:r>
            <w:r w:rsidR="00433810">
              <w:rPr>
                <w:rFonts w:ascii="Times New Roman" w:eastAsia="Times New Roman" w:hAnsi="Times New Roman" w:cs="Times New Roman"/>
                <w:i/>
              </w:rPr>
              <w:t xml:space="preserve">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 від 28</w:t>
            </w:r>
            <w:r w:rsidR="00E679AD">
              <w:rPr>
                <w:rFonts w:ascii="Times New Roman" w:eastAsia="Times New Roman" w:hAnsi="Times New Roman" w:cs="Times New Roman"/>
                <w:i/>
              </w:rPr>
              <w:t>.03.</w:t>
            </w:r>
            <w:r w:rsidR="00067E8F">
              <w:rPr>
                <w:rFonts w:ascii="Times New Roman" w:eastAsia="Times New Roman" w:hAnsi="Times New Roman" w:cs="Times New Roman"/>
                <w:i/>
              </w:rPr>
              <w:t xml:space="preserve">2002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№ 370/1804, земельна ділянка за функціональним призначенням належить до </w:t>
            </w:r>
            <w:r w:rsidRPr="00494276">
              <w:rPr>
                <w:rFonts w:ascii="Times New Roman" w:eastAsia="Times New Roman" w:hAnsi="Times New Roman" w:cs="Times New Roman"/>
                <w:i/>
              </w:rPr>
              <w:t>території багатоповерхової житлової забудови</w:t>
            </w:r>
            <w:r w:rsidR="00494276">
              <w:rPr>
                <w:rFonts w:ascii="Times New Roman" w:eastAsia="Times New Roman" w:hAnsi="Times New Roman" w:cs="Times New Roman"/>
                <w:i/>
              </w:rPr>
              <w:t xml:space="preserve"> (існуючі).</w:t>
            </w: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70402C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B6376" w:rsidRPr="0070402C" w14:paraId="7EC3C471" w14:textId="77777777" w:rsidTr="00A60BE3">
        <w:trPr>
          <w:cantSplit/>
          <w:trHeight w:val="256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624CD117" w:rsidR="00AB6376" w:rsidRPr="00A60BE3" w:rsidRDefault="00AB6376" w:rsidP="00626FE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61AA5F33" w14:textId="77777777" w:rsidR="004F7214" w:rsidRPr="00AD604C" w:rsidRDefault="00A90D7B" w:rsidP="00A90D7B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B810A8">
              <w:rPr>
                <w:rFonts w:ascii="Times New Roman" w:hAnsi="Times New Roman" w:cs="Times New Roman"/>
                <w:i/>
                <w:color w:val="auto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rFonts w:ascii="Times New Roman" w:hAnsi="Times New Roman" w:cs="Times New Roman"/>
                <w:i/>
                <w:color w:val="auto"/>
              </w:rPr>
              <w:t>проєкт</w:t>
            </w:r>
            <w:proofErr w:type="spellEnd"/>
            <w:r w:rsidRPr="00B810A8">
              <w:rPr>
                <w:rFonts w:ascii="Times New Roman" w:hAnsi="Times New Roman" w:cs="Times New Roman"/>
                <w:i/>
                <w:color w:val="auto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547E80F1" w14:textId="77777777" w:rsidR="00AB6376" w:rsidRPr="003141C9" w:rsidRDefault="00AB6376" w:rsidP="00AB6376">
      <w:pPr>
        <w:pStyle w:val="a7"/>
        <w:shd w:val="clear" w:color="auto" w:fill="auto"/>
        <w:rPr>
          <w:sz w:val="6"/>
          <w:szCs w:val="6"/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7B091884" w14:textId="77777777" w:rsidR="00AB6376" w:rsidRDefault="00AB6376" w:rsidP="00AB6376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засади та порядок </w:t>
      </w:r>
      <w:proofErr w:type="spellStart"/>
      <w:r w:rsidRPr="00173F07">
        <w:rPr>
          <w:i w:val="0"/>
          <w:sz w:val="24"/>
          <w:szCs w:val="24"/>
          <w:lang w:val="ru-RU"/>
        </w:rPr>
        <w:t>передачі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ділянок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власність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чи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користування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173F07">
        <w:rPr>
          <w:i w:val="0"/>
          <w:sz w:val="24"/>
          <w:szCs w:val="24"/>
          <w:lang w:val="ru-RU"/>
        </w:rPr>
        <w:t>визначено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Pr="00173F07">
        <w:rPr>
          <w:i w:val="0"/>
          <w:sz w:val="24"/>
          <w:szCs w:val="24"/>
          <w:lang w:val="ru-RU"/>
        </w:rPr>
        <w:t>України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Pr="00173F07">
        <w:rPr>
          <w:i w:val="0"/>
          <w:sz w:val="24"/>
          <w:szCs w:val="24"/>
          <w:lang w:val="ru-RU"/>
        </w:rPr>
        <w:t>набуття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Pr="00173F07">
        <w:rPr>
          <w:i w:val="0"/>
          <w:sz w:val="24"/>
          <w:szCs w:val="24"/>
          <w:lang w:val="ru-RU"/>
        </w:rPr>
        <w:t>із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Pr="00173F07">
        <w:rPr>
          <w:i w:val="0"/>
          <w:sz w:val="24"/>
          <w:szCs w:val="24"/>
          <w:lang w:val="ru-RU"/>
        </w:rPr>
        <w:t>комунальної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власності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i w:val="0"/>
          <w:sz w:val="24"/>
          <w:szCs w:val="24"/>
          <w:lang w:val="ru-RU"/>
        </w:rPr>
        <w:t>місті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Києві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, </w:t>
      </w:r>
      <w:proofErr w:type="spellStart"/>
      <w:r w:rsidRPr="00173F07">
        <w:rPr>
          <w:i w:val="0"/>
          <w:sz w:val="24"/>
          <w:szCs w:val="24"/>
          <w:lang w:val="ru-RU"/>
        </w:rPr>
        <w:t>затвердженим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рішенням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="00C971A4">
        <w:rPr>
          <w:i w:val="0"/>
          <w:sz w:val="24"/>
          <w:szCs w:val="24"/>
          <w:lang w:val="ru-RU"/>
        </w:rPr>
        <w:t>Київської</w:t>
      </w:r>
      <w:proofErr w:type="spellEnd"/>
      <w:r w:rsidR="00C971A4">
        <w:rPr>
          <w:i w:val="0"/>
          <w:sz w:val="24"/>
          <w:szCs w:val="24"/>
          <w:lang w:val="ru-RU"/>
        </w:rPr>
        <w:t xml:space="preserve"> </w:t>
      </w:r>
      <w:proofErr w:type="spellStart"/>
      <w:r w:rsidR="00C971A4">
        <w:rPr>
          <w:i w:val="0"/>
          <w:sz w:val="24"/>
          <w:szCs w:val="24"/>
          <w:lang w:val="ru-RU"/>
        </w:rPr>
        <w:t>міської</w:t>
      </w:r>
      <w:proofErr w:type="spellEnd"/>
      <w:r w:rsidR="00C971A4">
        <w:rPr>
          <w:i w:val="0"/>
          <w:sz w:val="24"/>
          <w:szCs w:val="24"/>
          <w:lang w:val="ru-RU"/>
        </w:rPr>
        <w:t xml:space="preserve"> </w:t>
      </w:r>
      <w:r w:rsidR="00C971A4" w:rsidRPr="00CD3A7D">
        <w:rPr>
          <w:i w:val="0"/>
          <w:sz w:val="24"/>
          <w:szCs w:val="24"/>
          <w:lang w:val="ru-RU"/>
        </w:rPr>
        <w:t>ради</w:t>
      </w:r>
      <w:r w:rsidR="00C971A4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від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20</w:t>
      </w:r>
      <w:r w:rsidR="00E679AD">
        <w:rPr>
          <w:i w:val="0"/>
          <w:sz w:val="24"/>
          <w:szCs w:val="24"/>
          <w:lang w:val="ru-RU"/>
        </w:rPr>
        <w:t>.04.</w:t>
      </w:r>
      <w:r w:rsidRPr="00173F07">
        <w:rPr>
          <w:i w:val="0"/>
          <w:sz w:val="24"/>
          <w:szCs w:val="24"/>
          <w:lang w:val="ru-RU"/>
        </w:rPr>
        <w:t>2017 № 241/2463.</w:t>
      </w:r>
    </w:p>
    <w:p w14:paraId="26FE7B83" w14:textId="77777777" w:rsidR="002E6951" w:rsidRPr="003141C9" w:rsidRDefault="002E6951" w:rsidP="005C6986">
      <w:pPr>
        <w:pStyle w:val="1"/>
        <w:shd w:val="clear" w:color="auto" w:fill="auto"/>
        <w:jc w:val="both"/>
        <w:rPr>
          <w:i w:val="0"/>
          <w:sz w:val="6"/>
          <w:szCs w:val="6"/>
          <w:lang w:val="ru-RU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1007F9B4" w14:textId="50E00613" w:rsidR="00AB6376" w:rsidRPr="005C6986" w:rsidRDefault="00AB6376" w:rsidP="005C698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1D032EAE" w14:textId="6EA46543" w:rsidR="002E6A3D" w:rsidRPr="00CD3A7D" w:rsidRDefault="002E6A3D" w:rsidP="00DD7B2D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CD3A7D">
        <w:rPr>
          <w:i w:val="0"/>
          <w:sz w:val="24"/>
          <w:szCs w:val="24"/>
          <w:lang w:val="ru-RU"/>
        </w:rPr>
        <w:t>Відповідно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до </w:t>
      </w:r>
      <w:proofErr w:type="spellStart"/>
      <w:r w:rsidRPr="00CD3A7D">
        <w:rPr>
          <w:i w:val="0"/>
          <w:sz w:val="24"/>
          <w:szCs w:val="24"/>
          <w:lang w:val="ru-RU"/>
        </w:rPr>
        <w:t>Податкового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кодексу </w:t>
      </w:r>
      <w:proofErr w:type="spellStart"/>
      <w:r w:rsidRPr="00CD3A7D">
        <w:rPr>
          <w:i w:val="0"/>
          <w:sz w:val="24"/>
          <w:szCs w:val="24"/>
          <w:lang w:val="ru-RU"/>
        </w:rPr>
        <w:t>України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CD3A7D">
        <w:rPr>
          <w:i w:val="0"/>
          <w:sz w:val="24"/>
          <w:szCs w:val="24"/>
          <w:lang w:val="ru-RU"/>
        </w:rPr>
        <w:t>П</w:t>
      </w:r>
      <w:r>
        <w:rPr>
          <w:i w:val="0"/>
          <w:sz w:val="24"/>
          <w:szCs w:val="24"/>
          <w:lang w:val="ru-RU"/>
        </w:rPr>
        <w:t>оложення</w:t>
      </w:r>
      <w:proofErr w:type="spellEnd"/>
      <w:r>
        <w:rPr>
          <w:i w:val="0"/>
          <w:sz w:val="24"/>
          <w:szCs w:val="24"/>
          <w:lang w:val="ru-RU"/>
        </w:rPr>
        <w:t xml:space="preserve"> про плату з</w:t>
      </w:r>
      <w:r w:rsidRPr="00CD3A7D">
        <w:rPr>
          <w:i w:val="0"/>
          <w:sz w:val="24"/>
          <w:szCs w:val="24"/>
          <w:lang w:val="ru-RU"/>
        </w:rPr>
        <w:t xml:space="preserve">а землю в </w:t>
      </w:r>
      <w:proofErr w:type="spellStart"/>
      <w:r w:rsidRPr="00CD3A7D">
        <w:rPr>
          <w:i w:val="0"/>
          <w:sz w:val="24"/>
          <w:szCs w:val="24"/>
          <w:lang w:val="ru-RU"/>
        </w:rPr>
        <w:t>місті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Києві</w:t>
      </w:r>
      <w:proofErr w:type="spellEnd"/>
      <w:r w:rsidRPr="00CD3A7D">
        <w:rPr>
          <w:i w:val="0"/>
          <w:sz w:val="24"/>
          <w:szCs w:val="24"/>
          <w:lang w:val="ru-RU"/>
        </w:rPr>
        <w:t xml:space="preserve">, </w:t>
      </w:r>
      <w:proofErr w:type="spellStart"/>
      <w:r w:rsidRPr="00CD3A7D">
        <w:rPr>
          <w:i w:val="0"/>
          <w:sz w:val="24"/>
          <w:szCs w:val="24"/>
          <w:lang w:val="ru-RU"/>
        </w:rPr>
        <w:t>затвердженого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рішенням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Київської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міської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ради </w:t>
      </w:r>
      <w:proofErr w:type="spellStart"/>
      <w:r w:rsidRPr="00CD3A7D">
        <w:rPr>
          <w:i w:val="0"/>
          <w:sz w:val="24"/>
          <w:szCs w:val="24"/>
          <w:lang w:val="ru-RU"/>
        </w:rPr>
        <w:t>від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23.06.</w:t>
      </w:r>
      <w:r w:rsidR="00C971A4">
        <w:rPr>
          <w:i w:val="0"/>
          <w:sz w:val="24"/>
          <w:szCs w:val="24"/>
          <w:lang w:val="ru-RU"/>
        </w:rPr>
        <w:t>20</w:t>
      </w:r>
      <w:r w:rsidRPr="00CD3A7D">
        <w:rPr>
          <w:i w:val="0"/>
          <w:sz w:val="24"/>
          <w:szCs w:val="24"/>
          <w:lang w:val="ru-RU"/>
        </w:rPr>
        <w:t>11 №</w:t>
      </w:r>
      <w:r w:rsidR="00067E8F" w:rsidRPr="00067E8F">
        <w:rPr>
          <w:i w:val="0"/>
          <w:sz w:val="24"/>
          <w:szCs w:val="24"/>
          <w:lang w:val="ru-RU"/>
        </w:rPr>
        <w:t xml:space="preserve"> </w:t>
      </w:r>
      <w:r w:rsidRPr="00CD3A7D">
        <w:rPr>
          <w:i w:val="0"/>
          <w:sz w:val="24"/>
          <w:szCs w:val="24"/>
          <w:lang w:val="ru-RU"/>
        </w:rPr>
        <w:t>242/</w:t>
      </w:r>
      <w:r>
        <w:rPr>
          <w:i w:val="0"/>
          <w:sz w:val="24"/>
          <w:szCs w:val="24"/>
          <w:lang w:val="ru-RU"/>
        </w:rPr>
        <w:t>5</w:t>
      </w:r>
      <w:r w:rsidRPr="00CD3A7D">
        <w:rPr>
          <w:i w:val="0"/>
          <w:sz w:val="24"/>
          <w:szCs w:val="24"/>
          <w:lang w:val="ru-RU"/>
        </w:rPr>
        <w:t>629 «Про</w:t>
      </w:r>
      <w:r w:rsidR="00DD7B2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встановлення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місцевих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податків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і </w:t>
      </w:r>
      <w:proofErr w:type="spellStart"/>
      <w:r w:rsidRPr="00CD3A7D">
        <w:rPr>
          <w:i w:val="0"/>
          <w:sz w:val="24"/>
          <w:szCs w:val="24"/>
          <w:lang w:val="ru-RU"/>
        </w:rPr>
        <w:t>зборів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у м.</w:t>
      </w:r>
      <w:r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Києві</w:t>
      </w:r>
      <w:proofErr w:type="spellEnd"/>
      <w:r w:rsidRPr="00CD3A7D">
        <w:rPr>
          <w:i w:val="0"/>
          <w:sz w:val="24"/>
          <w:szCs w:val="24"/>
          <w:lang w:val="ru-RU"/>
        </w:rPr>
        <w:t>» (</w:t>
      </w:r>
      <w:proofErr w:type="spellStart"/>
      <w:r w:rsidRPr="00CD3A7D">
        <w:rPr>
          <w:i w:val="0"/>
          <w:sz w:val="24"/>
          <w:szCs w:val="24"/>
          <w:lang w:val="ru-RU"/>
        </w:rPr>
        <w:t>зі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змінами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CD3A7D">
        <w:rPr>
          <w:i w:val="0"/>
          <w:sz w:val="24"/>
          <w:szCs w:val="24"/>
          <w:lang w:val="ru-RU"/>
        </w:rPr>
        <w:t>доп</w:t>
      </w:r>
      <w:r w:rsidR="00DD7B2D">
        <w:rPr>
          <w:i w:val="0"/>
          <w:sz w:val="24"/>
          <w:szCs w:val="24"/>
          <w:lang w:val="ru-RU"/>
        </w:rPr>
        <w:t>овненнями</w:t>
      </w:r>
      <w:proofErr w:type="spellEnd"/>
      <w:r w:rsidR="00DD7B2D">
        <w:rPr>
          <w:i w:val="0"/>
          <w:sz w:val="24"/>
          <w:szCs w:val="24"/>
          <w:lang w:val="ru-RU"/>
        </w:rPr>
        <w:t xml:space="preserve">) </w:t>
      </w:r>
      <w:proofErr w:type="spellStart"/>
      <w:r w:rsidR="00DD7B2D">
        <w:rPr>
          <w:i w:val="0"/>
          <w:sz w:val="24"/>
          <w:szCs w:val="24"/>
          <w:lang w:val="ru-RU"/>
        </w:rPr>
        <w:t>роз</w:t>
      </w:r>
      <w:r w:rsidR="00A635B1">
        <w:rPr>
          <w:i w:val="0"/>
          <w:sz w:val="24"/>
          <w:szCs w:val="24"/>
          <w:lang w:val="ru-RU"/>
        </w:rPr>
        <w:t>рахунковий</w:t>
      </w:r>
      <w:proofErr w:type="spellEnd"/>
      <w:r w:rsidR="00A635B1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розмір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земельного </w:t>
      </w:r>
      <w:proofErr w:type="spellStart"/>
      <w:r w:rsidRPr="00CD3A7D">
        <w:rPr>
          <w:i w:val="0"/>
          <w:sz w:val="24"/>
          <w:szCs w:val="24"/>
          <w:lang w:val="ru-RU"/>
        </w:rPr>
        <w:t>податку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proofErr w:type="spellStart"/>
      <w:r w:rsidRPr="00CD3A7D">
        <w:rPr>
          <w:i w:val="0"/>
          <w:sz w:val="24"/>
          <w:szCs w:val="24"/>
          <w:lang w:val="ru-RU"/>
        </w:rPr>
        <w:t>складатиме</w:t>
      </w:r>
      <w:proofErr w:type="spellEnd"/>
      <w:r w:rsidRPr="00CD3A7D">
        <w:rPr>
          <w:i w:val="0"/>
          <w:sz w:val="24"/>
          <w:szCs w:val="24"/>
          <w:lang w:val="ru-RU"/>
        </w:rPr>
        <w:t xml:space="preserve">: </w:t>
      </w:r>
      <w:r w:rsidR="00494276" w:rsidRPr="00D80268">
        <w:rPr>
          <w:b/>
          <w:i w:val="0"/>
          <w:sz w:val="24"/>
          <w:szCs w:val="24"/>
          <w:lang w:val="ru-RU"/>
        </w:rPr>
        <w:t>2 551 грн.</w:t>
      </w:r>
      <w:r w:rsidR="009C5A84">
        <w:rPr>
          <w:b/>
          <w:i w:val="0"/>
          <w:sz w:val="24"/>
          <w:szCs w:val="24"/>
          <w:lang w:val="ru-RU"/>
        </w:rPr>
        <w:t xml:space="preserve"> </w:t>
      </w:r>
      <w:proofErr w:type="gramStart"/>
      <w:r w:rsidR="009C5A84">
        <w:rPr>
          <w:b/>
          <w:i w:val="0"/>
          <w:sz w:val="24"/>
          <w:szCs w:val="24"/>
          <w:lang w:val="ru-RU"/>
        </w:rPr>
        <w:t>3</w:t>
      </w:r>
      <w:r w:rsidR="00494276" w:rsidRPr="00D80268">
        <w:rPr>
          <w:b/>
          <w:i w:val="0"/>
          <w:sz w:val="24"/>
          <w:szCs w:val="24"/>
          <w:lang w:val="ru-RU"/>
        </w:rPr>
        <w:t xml:space="preserve">8 </w:t>
      </w:r>
      <w:r w:rsidRPr="00D80268">
        <w:rPr>
          <w:b/>
          <w:i w:val="0"/>
          <w:sz w:val="24"/>
          <w:szCs w:val="24"/>
          <w:lang w:val="ru-RU"/>
        </w:rPr>
        <w:t xml:space="preserve"> коп</w:t>
      </w:r>
      <w:proofErr w:type="gramEnd"/>
      <w:r w:rsidRPr="00D80268">
        <w:rPr>
          <w:b/>
          <w:i w:val="0"/>
          <w:sz w:val="24"/>
          <w:szCs w:val="24"/>
          <w:lang w:val="ru-RU"/>
        </w:rPr>
        <w:t>. (</w:t>
      </w:r>
      <w:r w:rsidR="00494276" w:rsidRPr="00D80268">
        <w:rPr>
          <w:b/>
          <w:i w:val="0"/>
          <w:sz w:val="24"/>
          <w:szCs w:val="24"/>
          <w:lang w:val="ru-RU"/>
        </w:rPr>
        <w:t>1</w:t>
      </w:r>
      <w:r w:rsidRPr="00D80268">
        <w:rPr>
          <w:b/>
          <w:i w:val="0"/>
          <w:sz w:val="24"/>
          <w:szCs w:val="24"/>
          <w:lang w:val="ru-RU"/>
        </w:rPr>
        <w:t>%).</w:t>
      </w: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3D8116A" w14:textId="138312B7" w:rsidR="00AB6376" w:rsidRPr="00173F07" w:rsidRDefault="00AB6376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використання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земельної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8347CC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3141C9">
        <w:trPr>
          <w:trHeight w:val="663"/>
        </w:trPr>
        <w:tc>
          <w:tcPr>
            <w:tcW w:w="4752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746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089A0933" w14:textId="7993A3EF" w:rsidR="00672119" w:rsidRPr="00A60BE3" w:rsidRDefault="00672119" w:rsidP="00A60BE3">
      <w:pPr>
        <w:pStyle w:val="1"/>
        <w:shd w:val="clear" w:color="auto" w:fill="auto"/>
        <w:rPr>
          <w:sz w:val="6"/>
          <w:szCs w:val="6"/>
        </w:rPr>
      </w:pPr>
    </w:p>
    <w:sectPr w:rsidR="00672119" w:rsidRPr="00A60BE3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2CE95" w14:textId="77777777" w:rsidR="0062039C" w:rsidRDefault="0062039C">
      <w:r>
        <w:separator/>
      </w:r>
    </w:p>
  </w:endnote>
  <w:endnote w:type="continuationSeparator" w:id="0">
    <w:p w14:paraId="6FE8EF88" w14:textId="77777777" w:rsidR="0062039C" w:rsidRDefault="0062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8A338E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2D306E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2D306E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DACC" w14:textId="77777777" w:rsidR="0062039C" w:rsidRDefault="0062039C">
      <w:r>
        <w:separator/>
      </w:r>
    </w:p>
  </w:footnote>
  <w:footnote w:type="continuationSeparator" w:id="0">
    <w:p w14:paraId="0101D606" w14:textId="77777777" w:rsidR="0062039C" w:rsidRDefault="0062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77777777" w:rsidR="0070323B" w:rsidRPr="008347CC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8347CC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8347CC">
          <w:rPr>
            <w:i w:val="0"/>
            <w:sz w:val="12"/>
            <w:szCs w:val="12"/>
            <w:lang w:val="ru-RU"/>
          </w:rPr>
          <w:t xml:space="preserve"> записка № ПЗН-49447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8347CC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8347CC">
          <w:rPr>
            <w:i w:val="0"/>
            <w:sz w:val="12"/>
            <w:szCs w:val="12"/>
            <w:lang w:val="ru-RU"/>
          </w:rPr>
          <w:t xml:space="preserve"> </w:t>
        </w:r>
        <w:r w:rsidR="00C805DB" w:rsidRPr="008347CC">
          <w:rPr>
            <w:i w:val="0"/>
            <w:sz w:val="12"/>
            <w:szCs w:val="12"/>
            <w:lang w:val="ru-RU"/>
          </w:rPr>
          <w:t>18.01.2023</w:t>
        </w:r>
        <w:r w:rsidR="00B04F97" w:rsidRPr="008347CC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B04F97" w:rsidRPr="008347CC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B04F97" w:rsidRPr="008347CC">
          <w:rPr>
            <w:i w:val="0"/>
            <w:sz w:val="12"/>
            <w:szCs w:val="12"/>
            <w:lang w:val="ru-RU"/>
          </w:rPr>
          <w:t xml:space="preserve"> 462413835</w:t>
        </w:r>
      </w:p>
      <w:p w14:paraId="74DAA626" w14:textId="2CB7DD25" w:rsidR="0070323B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164C6" w:rsidRPr="00E164C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70323B" w:rsidRDefault="00E164C6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67E8F"/>
    <w:rsid w:val="00070AEE"/>
    <w:rsid w:val="000C4FAD"/>
    <w:rsid w:val="000C77DE"/>
    <w:rsid w:val="000E4304"/>
    <w:rsid w:val="000F1E76"/>
    <w:rsid w:val="000F1F0E"/>
    <w:rsid w:val="00160C62"/>
    <w:rsid w:val="0017443C"/>
    <w:rsid w:val="001774CA"/>
    <w:rsid w:val="00187816"/>
    <w:rsid w:val="001A36BC"/>
    <w:rsid w:val="002841D8"/>
    <w:rsid w:val="002A1D3E"/>
    <w:rsid w:val="002E6951"/>
    <w:rsid w:val="002E6A3D"/>
    <w:rsid w:val="002F79A1"/>
    <w:rsid w:val="00311227"/>
    <w:rsid w:val="003141C9"/>
    <w:rsid w:val="003F1E49"/>
    <w:rsid w:val="00430E3F"/>
    <w:rsid w:val="00433810"/>
    <w:rsid w:val="00494276"/>
    <w:rsid w:val="004B0A5A"/>
    <w:rsid w:val="004C27C5"/>
    <w:rsid w:val="004F7214"/>
    <w:rsid w:val="00502906"/>
    <w:rsid w:val="005056C4"/>
    <w:rsid w:val="005C6986"/>
    <w:rsid w:val="0062039C"/>
    <w:rsid w:val="00626FEC"/>
    <w:rsid w:val="00627A9F"/>
    <w:rsid w:val="00627D08"/>
    <w:rsid w:val="006617B7"/>
    <w:rsid w:val="00672119"/>
    <w:rsid w:val="0071136B"/>
    <w:rsid w:val="00713399"/>
    <w:rsid w:val="00765AE4"/>
    <w:rsid w:val="00777B06"/>
    <w:rsid w:val="007A32FB"/>
    <w:rsid w:val="007F0D94"/>
    <w:rsid w:val="00804D06"/>
    <w:rsid w:val="00820C6D"/>
    <w:rsid w:val="008347CC"/>
    <w:rsid w:val="008367E8"/>
    <w:rsid w:val="00837DD8"/>
    <w:rsid w:val="00851F25"/>
    <w:rsid w:val="00855765"/>
    <w:rsid w:val="00856D32"/>
    <w:rsid w:val="00877DB1"/>
    <w:rsid w:val="008B754D"/>
    <w:rsid w:val="008D7061"/>
    <w:rsid w:val="00902E1F"/>
    <w:rsid w:val="00923E41"/>
    <w:rsid w:val="00936C11"/>
    <w:rsid w:val="009574C2"/>
    <w:rsid w:val="009C4515"/>
    <w:rsid w:val="009C5A84"/>
    <w:rsid w:val="00A42D6D"/>
    <w:rsid w:val="00A60BE3"/>
    <w:rsid w:val="00A635B1"/>
    <w:rsid w:val="00A90D7B"/>
    <w:rsid w:val="00AB6376"/>
    <w:rsid w:val="00AB7F46"/>
    <w:rsid w:val="00B04F97"/>
    <w:rsid w:val="00BF1705"/>
    <w:rsid w:val="00BF210D"/>
    <w:rsid w:val="00C4394A"/>
    <w:rsid w:val="00C805DB"/>
    <w:rsid w:val="00C971A4"/>
    <w:rsid w:val="00CA61D7"/>
    <w:rsid w:val="00CA7EBC"/>
    <w:rsid w:val="00CE20A6"/>
    <w:rsid w:val="00CF5399"/>
    <w:rsid w:val="00D80268"/>
    <w:rsid w:val="00D83BE9"/>
    <w:rsid w:val="00DD7B2D"/>
    <w:rsid w:val="00E164C6"/>
    <w:rsid w:val="00E457DD"/>
    <w:rsid w:val="00E679AD"/>
    <w:rsid w:val="00E875D7"/>
    <w:rsid w:val="00EF695A"/>
    <w:rsid w:val="00F27DAD"/>
    <w:rsid w:val="00F33F92"/>
    <w:rsid w:val="00F804BF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tyana.zadvorn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ACB9-3661-4E6B-B12A-71B74416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5687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/>
  <dc:description/>
  <cp:lastModifiedBy>Карнаушенко Оксана Олександрівна</cp:lastModifiedBy>
  <cp:revision>14</cp:revision>
  <cp:lastPrinted>2023-01-24T08:29:00Z</cp:lastPrinted>
  <dcterms:created xsi:type="dcterms:W3CDTF">2023-01-18T09:23:00Z</dcterms:created>
  <dcterms:modified xsi:type="dcterms:W3CDTF">2023-01-24T08:29:00Z</dcterms:modified>
</cp:coreProperties>
</file>