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45E385" w14:textId="77777777" w:rsidR="00B51FA5" w:rsidRPr="00F8533D" w:rsidRDefault="00B51FA5" w:rsidP="00553E8C">
      <w:pPr>
        <w:pStyle w:val="a4"/>
        <w:shd w:val="clear" w:color="auto" w:fill="auto"/>
        <w:jc w:val="center"/>
        <w:rPr>
          <w:b/>
          <w:bCs/>
          <w:sz w:val="36"/>
          <w:szCs w:val="36"/>
        </w:rPr>
      </w:pPr>
    </w:p>
    <w:p w14:paraId="53E72A87" w14:textId="7BBEFEE7" w:rsidR="008A338E" w:rsidRPr="00F8533D" w:rsidRDefault="00D40637" w:rsidP="00553E8C">
      <w:pPr>
        <w:pStyle w:val="a4"/>
        <w:shd w:val="clear" w:color="auto" w:fill="auto"/>
        <w:jc w:val="center"/>
        <w:rPr>
          <w:sz w:val="36"/>
          <w:szCs w:val="36"/>
        </w:rPr>
      </w:pPr>
      <w:r w:rsidRPr="00F8533D">
        <w:rPr>
          <w:noProof/>
          <w:sz w:val="36"/>
          <w:szCs w:val="36"/>
          <w:lang w:val="ru-RU" w:eastAsia="ru-RU" w:bidi="ar-SA"/>
        </w:rPr>
        <mc:AlternateContent>
          <mc:Choice Requires="wps">
            <w:drawing>
              <wp:anchor distT="133985" distB="391160" distL="274955" distR="302895" simplePos="0" relativeHeight="125829380" behindDoc="0" locked="0" layoutInCell="1" allowOverlap="1" wp14:anchorId="4590AD9A" wp14:editId="5A60C6EF">
                <wp:simplePos x="0" y="0"/>
                <wp:positionH relativeFrom="page">
                  <wp:posOffset>5749925</wp:posOffset>
                </wp:positionH>
                <wp:positionV relativeFrom="paragraph">
                  <wp:posOffset>20320</wp:posOffset>
                </wp:positionV>
                <wp:extent cx="1308100" cy="307975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08100" cy="3079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E9D2FDB" w14:textId="77777777" w:rsidR="009674CE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156AF">
                              <w:rPr>
                                <w:bCs/>
                                <w:sz w:val="14"/>
                                <w:szCs w:val="14"/>
                              </w:rPr>
                              <w:t>До справи</w:t>
                            </w:r>
                          </w:p>
                          <w:p w14:paraId="6F41EFD9" w14:textId="543EA2D2" w:rsidR="009674CE" w:rsidRPr="005156AF" w:rsidRDefault="009674CE" w:rsidP="005156AF">
                            <w:pPr>
                              <w:pStyle w:val="a4"/>
                              <w:shd w:val="clear" w:color="auto" w:fill="auto"/>
                              <w:jc w:val="center"/>
                              <w:rPr>
                                <w:sz w:val="24"/>
                                <w:szCs w:val="24"/>
                              </w:rPr>
                            </w:pPr>
                            <w:r w:rsidRPr="005156AF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№ </w:t>
                            </w:r>
                            <w:r w:rsidRPr="00C55118">
                              <w:rPr>
                                <w:b/>
                                <w:sz w:val="24"/>
                                <w:szCs w:val="24"/>
                              </w:rPr>
                              <w:t>531005898</w:t>
                            </w:r>
                          </w:p>
                        </w:txbxContent>
                      </wps:txbx>
                      <wps:bodyPr wrap="square" lIns="0" tIns="0" rIns="0" bIns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="http://schemas.openxmlformats.org/drawingml/2006/main" xmlns:pic="http://schemas.openxmlformats.org/drawingml/2006/picture" xmlns:a14="http://schemas.microsoft.com/office/drawing/2010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shapetype id="_x0000_t202" coordsize="21600,21600" o:spt="202" path="m,l,21600r21600,l21600,xe" w14:anchorId="4590AD9A">
                <v:stroke joinstyle="miter"/>
                <v:path gradientshapeok="t" o:connecttype="rect"/>
              </v:shapetype>
              <v:shape id="Shape 3" style="position:absolute;left:0;text-align:left;margin-left:452.75pt;margin-top:1.6pt;width:103pt;height:24.25pt;z-index:125829380;visibility:visible;mso-wrap-style:square;mso-width-percent:0;mso-height-percent:0;mso-wrap-distance-left:21.65pt;mso-wrap-distance-top:10.55pt;mso-wrap-distance-right:23.85pt;mso-wrap-distance-bottom:30.8pt;mso-position-horizontal:absolute;mso-position-horizontal-relative:page;mso-position-vertical:absolute;mso-position-vertical-relative:text;mso-width-percent:0;mso-height-percent:0;mso-width-relative:margin;mso-height-relative:margin;v-text-anchor:top" o:spid="_x0000_s1026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">
                <v:textbox inset="0,0,0,0">
                  <w:txbxContent>
                    <w:p w:rsidR="009674CE" w:rsidP="005156AF" w:rsidRDefault="009674CE" w14:paraId="7E9D2FDB" w14:textId="77777777">
                      <w:pPr>
                        <w:pStyle w:val="a4"/>
                        <w:shd w:val="clear" w:color="auto" w:fill="auto"/>
                        <w:jc w:val="center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156AF">
                        <w:rPr>
                          <w:bCs/>
                          <w:sz w:val="14"/>
                          <w:szCs w:val="14"/>
                        </w:rPr>
                        <w:t>До справи</w:t>
                      </w:r>
                    </w:p>
                    <w:p w:rsidRPr="005156AF" w:rsidR="009674CE" w:rsidP="005156AF" w:rsidRDefault="009674CE" w14:paraId="6F41EFD9" w14:textId="543EA2D2">
                      <w:pPr>
                        <w:pStyle w:val="a4"/>
                        <w:shd w:val="clear" w:color="auto" w:fill="auto"/>
                        <w:jc w:val="center"/>
                        <w:rPr>
                          <w:sz w:val="24"/>
                          <w:szCs w:val="24"/>
                        </w:rPr>
                      </w:pPr>
                      <w:r w:rsidRPr="005156AF">
                        <w:rPr>
                          <w:b/>
                          <w:bCs/>
                          <w:sz w:val="24"/>
                          <w:szCs w:val="24"/>
                        </w:rPr>
                        <w:t xml:space="preserve">№ </w:t>
                      </w:r>
                      <w:proofErr w:type="spellStart"/>
                      <w:r w:rsidRPr="00C55118">
                        <w:rPr>
                          <w:b/>
                          <w:sz w:val="24"/>
                          <w:szCs w:val="24"/>
                        </w:rPr>
                        <w:t xml:space="preserve">531005898</w:t>
                      </w:r>
                      <w:proofErr w:type="spellEnd"/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="007B72F8" w:rsidRPr="00F8533D">
        <w:rPr>
          <w:b/>
          <w:bCs/>
          <w:sz w:val="36"/>
          <w:szCs w:val="36"/>
        </w:rPr>
        <w:t>ПОЯСНЮВАЛЬНА ЗАПИСКА</w:t>
      </w:r>
    </w:p>
    <w:p w14:paraId="665764F7" w14:textId="4CE9FBBC" w:rsidR="008A338E" w:rsidRPr="00F8533D" w:rsidRDefault="00B34649" w:rsidP="00037B84">
      <w:pPr>
        <w:pStyle w:val="1"/>
        <w:shd w:val="clear" w:color="auto" w:fill="auto"/>
        <w:jc w:val="center"/>
        <w:rPr>
          <w:sz w:val="24"/>
          <w:szCs w:val="24"/>
        </w:rPr>
      </w:pPr>
      <w:r w:rsidRPr="00F8533D">
        <w:rPr>
          <w:noProof/>
          <w:lang w:val="ru-RU" w:eastAsia="ru-RU" w:bidi="ar-SA"/>
        </w:rPr>
        <w:drawing>
          <wp:anchor distT="0" distB="0" distL="114300" distR="114300" simplePos="0" relativeHeight="251659776" behindDoc="1" locked="0" layoutInCell="1" allowOverlap="1" wp14:anchorId="31B7A69A" wp14:editId="76FCB7BD">
            <wp:simplePos x="0" y="0"/>
            <wp:positionH relativeFrom="column">
              <wp:posOffset>4888865</wp:posOffset>
            </wp:positionH>
            <wp:positionV relativeFrom="paragraph">
              <wp:posOffset>62865</wp:posOffset>
            </wp:positionV>
            <wp:extent cx="828675" cy="781050"/>
            <wp:effectExtent l="0" t="0" r="9525" b="0"/>
            <wp:wrapNone/>
            <wp:docPr id="1" name="Picture 5">
              <a:hlinkClick xmlns:a="http://schemas.openxmlformats.org/drawingml/2006/main" r:id="rId8"/>
            </wp:docPr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>
                      <a:hlinkClick r:id="rId9"/>
                    </pic:cNvPr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7810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B72F8" w:rsidRPr="00F8533D">
        <w:rPr>
          <w:b/>
          <w:bCs/>
          <w:i w:val="0"/>
          <w:iCs w:val="0"/>
          <w:sz w:val="24"/>
          <w:szCs w:val="24"/>
        </w:rPr>
        <w:t xml:space="preserve">№ </w:t>
      </w:r>
      <w:r w:rsidR="00045F3B" w:rsidRPr="00F8533D">
        <w:rPr>
          <w:b/>
          <w:bCs/>
          <w:i w:val="0"/>
          <w:iCs w:val="0"/>
          <w:sz w:val="24"/>
          <w:szCs w:val="24"/>
        </w:rPr>
        <w:t>ПЗ</w:t>
      </w:r>
      <w:r w:rsidR="00B87AD3" w:rsidRPr="00F8533D">
        <w:rPr>
          <w:b/>
          <w:bCs/>
          <w:i w:val="0"/>
          <w:iCs w:val="0"/>
          <w:sz w:val="24"/>
          <w:szCs w:val="24"/>
        </w:rPr>
        <w:t>Н</w:t>
      </w:r>
      <w:r w:rsidR="00C55118" w:rsidRPr="00F8533D">
        <w:rPr>
          <w:b/>
          <w:bCs/>
          <w:sz w:val="24"/>
          <w:szCs w:val="24"/>
        </w:rPr>
        <w:t>-64865</w:t>
      </w:r>
      <w:r w:rsidR="007B72F8" w:rsidRPr="00F8533D">
        <w:rPr>
          <w:b/>
          <w:bCs/>
          <w:i w:val="0"/>
          <w:iCs w:val="0"/>
          <w:sz w:val="24"/>
          <w:szCs w:val="24"/>
        </w:rPr>
        <w:t xml:space="preserve"> від </w:t>
      </w:r>
      <w:r w:rsidR="00C55118" w:rsidRPr="00F8533D">
        <w:rPr>
          <w:b/>
          <w:bCs/>
          <w:sz w:val="24"/>
          <w:szCs w:val="24"/>
        </w:rPr>
        <w:t>17.04.2024</w:t>
      </w:r>
    </w:p>
    <w:p w14:paraId="41C95576" w14:textId="47DE295C" w:rsidR="008A338E" w:rsidRPr="00F8533D" w:rsidRDefault="00A71A8F" w:rsidP="00FB754A">
      <w:pPr>
        <w:pStyle w:val="1"/>
        <w:shd w:val="clear" w:color="auto" w:fill="auto"/>
        <w:ind w:right="1704"/>
        <w:jc w:val="center"/>
        <w:rPr>
          <w:i w:val="0"/>
          <w:sz w:val="24"/>
          <w:szCs w:val="24"/>
        </w:rPr>
      </w:pPr>
      <w:r w:rsidRPr="00F8533D">
        <w:rPr>
          <w:i w:val="0"/>
          <w:sz w:val="24"/>
          <w:szCs w:val="24"/>
        </w:rPr>
        <w:t xml:space="preserve">до </w:t>
      </w:r>
      <w:proofErr w:type="spellStart"/>
      <w:r w:rsidRPr="00F8533D">
        <w:rPr>
          <w:i w:val="0"/>
          <w:sz w:val="24"/>
          <w:szCs w:val="24"/>
        </w:rPr>
        <w:t>проє</w:t>
      </w:r>
      <w:r w:rsidR="003E1B2C" w:rsidRPr="00F8533D">
        <w:rPr>
          <w:i w:val="0"/>
          <w:sz w:val="24"/>
          <w:szCs w:val="24"/>
        </w:rPr>
        <w:t>кту</w:t>
      </w:r>
      <w:proofErr w:type="spellEnd"/>
      <w:r w:rsidR="003E1B2C" w:rsidRPr="00F8533D">
        <w:rPr>
          <w:i w:val="0"/>
          <w:sz w:val="24"/>
          <w:szCs w:val="24"/>
        </w:rPr>
        <w:t xml:space="preserve"> </w:t>
      </w:r>
      <w:r w:rsidR="00FB754A" w:rsidRPr="00F8533D">
        <w:rPr>
          <w:i w:val="0"/>
          <w:sz w:val="24"/>
          <w:szCs w:val="24"/>
        </w:rPr>
        <w:t>рішення</w:t>
      </w:r>
      <w:r w:rsidR="003E1B2C" w:rsidRPr="00F8533D">
        <w:rPr>
          <w:i w:val="0"/>
          <w:sz w:val="24"/>
          <w:szCs w:val="24"/>
        </w:rPr>
        <w:t xml:space="preserve"> Київської міської</w:t>
      </w:r>
      <w:r w:rsidR="00FB754A" w:rsidRPr="00F8533D">
        <w:rPr>
          <w:i w:val="0"/>
          <w:sz w:val="24"/>
          <w:szCs w:val="24"/>
        </w:rPr>
        <w:t xml:space="preserve"> </w:t>
      </w:r>
      <w:r w:rsidR="003E1B2C" w:rsidRPr="00F8533D">
        <w:rPr>
          <w:i w:val="0"/>
          <w:sz w:val="24"/>
          <w:szCs w:val="24"/>
        </w:rPr>
        <w:t>ради:</w:t>
      </w:r>
    </w:p>
    <w:p w14:paraId="45251460" w14:textId="436F5140" w:rsidR="00343979" w:rsidRPr="00F8533D" w:rsidRDefault="009674CE" w:rsidP="00553E8C">
      <w:pPr>
        <w:pStyle w:val="a4"/>
        <w:shd w:val="clear" w:color="auto" w:fill="auto"/>
        <w:spacing w:after="140" w:line="266" w:lineRule="auto"/>
        <w:ind w:right="2456"/>
        <w:jc w:val="center"/>
        <w:rPr>
          <w:b/>
          <w:i/>
          <w:sz w:val="24"/>
          <w:szCs w:val="24"/>
        </w:rPr>
      </w:pPr>
      <w:r w:rsidRPr="00F8533D">
        <w:rPr>
          <w:b/>
          <w:i/>
          <w:sz w:val="24"/>
          <w:szCs w:val="24"/>
        </w:rPr>
        <w:t xml:space="preserve">Про </w:t>
      </w:r>
      <w:r w:rsidR="00FE7916" w:rsidRPr="00F8533D">
        <w:rPr>
          <w:b/>
          <w:i/>
          <w:sz w:val="24"/>
          <w:szCs w:val="24"/>
        </w:rPr>
        <w:t>поновлення товариству з обмеженою відповідальністю «ЕЛЕТОН» договору оренди земельної ділянки від 17 жовтня 2005 року № 79-6-00361 (зі змінами) для реконструкції, будівництва, експлуатації і обслуговування складських приміщень та електромонтажного виробництва на вул. Сумській, 3 у Голосіївському районі м. Києва</w:t>
      </w:r>
    </w:p>
    <w:p w14:paraId="04A53D07" w14:textId="11025959" w:rsidR="00694D51" w:rsidRPr="00F8533D" w:rsidRDefault="007B72F8" w:rsidP="00FC32B6">
      <w:pPr>
        <w:pStyle w:val="a7"/>
        <w:numPr>
          <w:ilvl w:val="0"/>
          <w:numId w:val="1"/>
        </w:numPr>
        <w:shd w:val="clear" w:color="auto" w:fill="auto"/>
        <w:rPr>
          <w:sz w:val="24"/>
          <w:szCs w:val="24"/>
        </w:rPr>
      </w:pPr>
      <w:r w:rsidRPr="00F8533D">
        <w:rPr>
          <w:sz w:val="24"/>
          <w:szCs w:val="24"/>
        </w:rPr>
        <w:t>Юридична особа:</w:t>
      </w:r>
    </w:p>
    <w:tbl>
      <w:tblPr>
        <w:tblStyle w:val="a8"/>
        <w:tblW w:w="9639" w:type="dxa"/>
        <w:tblInd w:w="-5" w:type="dxa"/>
        <w:tblLook w:val="04A0" w:firstRow="1" w:lastRow="0" w:firstColumn="1" w:lastColumn="0" w:noHBand="0" w:noVBand="1"/>
      </w:tblPr>
      <w:tblGrid>
        <w:gridCol w:w="2977"/>
        <w:gridCol w:w="6662"/>
      </w:tblGrid>
      <w:tr w:rsidR="00E94376" w:rsidRPr="00F8533D" w14:paraId="756D097C" w14:textId="77777777" w:rsidTr="00E7338E">
        <w:trPr>
          <w:cantSplit/>
          <w:trHeight w:val="572"/>
        </w:trPr>
        <w:tc>
          <w:tcPr>
            <w:tcW w:w="2977" w:type="dxa"/>
          </w:tcPr>
          <w:p w14:paraId="5ABA7EA4" w14:textId="0730EF9A" w:rsidR="00E94376" w:rsidRPr="00F8533D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F8533D">
              <w:rPr>
                <w:b w:val="0"/>
                <w:i/>
                <w:sz w:val="24"/>
                <w:szCs w:val="24"/>
              </w:rPr>
              <w:t>Назва</w:t>
            </w:r>
            <w:r w:rsidR="00E94376" w:rsidRPr="00F8533D">
              <w:rPr>
                <w:b w:val="0"/>
                <w:i/>
                <w:sz w:val="24"/>
                <w:szCs w:val="24"/>
              </w:rPr>
              <w:tab/>
            </w:r>
          </w:p>
        </w:tc>
        <w:tc>
          <w:tcPr>
            <w:tcW w:w="6662" w:type="dxa"/>
          </w:tcPr>
          <w:p w14:paraId="3F99415B" w14:textId="46A5E8A8" w:rsidR="00E94376" w:rsidRPr="00F8533D" w:rsidRDefault="00FE7916" w:rsidP="00FE7916">
            <w:pPr>
              <w:pStyle w:val="a7"/>
              <w:shd w:val="clear" w:color="auto" w:fill="auto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 xml:space="preserve">Товариство з обмеженою відповідальністю </w:t>
            </w:r>
            <w:r w:rsidR="00C55118" w:rsidRPr="00F8533D">
              <w:rPr>
                <w:i/>
                <w:sz w:val="24"/>
                <w:szCs w:val="24"/>
              </w:rPr>
              <w:t>«ЕЛЕТОН»</w:t>
            </w:r>
            <w:r w:rsidR="000B1E6A" w:rsidRPr="00F8533D">
              <w:rPr>
                <w:i/>
                <w:sz w:val="24"/>
                <w:szCs w:val="24"/>
              </w:rPr>
              <w:t xml:space="preserve"> (</w:t>
            </w:r>
            <w:r w:rsidR="00FF0A55" w:rsidRPr="00F8533D">
              <w:rPr>
                <w:i/>
                <w:sz w:val="24"/>
                <w:szCs w:val="24"/>
              </w:rPr>
              <w:t>ЄДРПОУ</w:t>
            </w:r>
            <w:r w:rsidR="002B5778" w:rsidRPr="00F8533D">
              <w:rPr>
                <w:i/>
                <w:sz w:val="24"/>
                <w:szCs w:val="24"/>
              </w:rPr>
              <w:t xml:space="preserve"> </w:t>
            </w:r>
            <w:r w:rsidR="000B1E6A" w:rsidRPr="00F8533D">
              <w:rPr>
                <w:i/>
                <w:color w:val="auto"/>
                <w:sz w:val="24"/>
                <w:szCs w:val="24"/>
                <w:highlight w:val="white"/>
                <w:lang w:bidi="ar-SA"/>
              </w:rPr>
              <w:t>25279859</w:t>
            </w:r>
            <w:r w:rsidR="000B1E6A" w:rsidRPr="00F8533D">
              <w:rPr>
                <w:i/>
                <w:color w:val="auto"/>
                <w:sz w:val="24"/>
                <w:szCs w:val="24"/>
                <w:lang w:bidi="ar-SA"/>
              </w:rPr>
              <w:t>)</w:t>
            </w:r>
            <w:r w:rsidRPr="00F8533D">
              <w:rPr>
                <w:i/>
                <w:color w:val="auto"/>
                <w:sz w:val="24"/>
                <w:szCs w:val="24"/>
                <w:lang w:bidi="ar-SA"/>
              </w:rPr>
              <w:t xml:space="preserve"> (далі – Товариство)</w:t>
            </w:r>
          </w:p>
        </w:tc>
      </w:tr>
      <w:tr w:rsidR="00E94376" w:rsidRPr="00F8533D" w14:paraId="34CD5485" w14:textId="77777777" w:rsidTr="00430CA4">
        <w:trPr>
          <w:cantSplit/>
          <w:trHeight w:val="974"/>
        </w:trPr>
        <w:tc>
          <w:tcPr>
            <w:tcW w:w="2977" w:type="dxa"/>
          </w:tcPr>
          <w:p w14:paraId="7311DA8C" w14:textId="44FB98E4" w:rsidR="00E94376" w:rsidRPr="00F8533D" w:rsidRDefault="00776E89" w:rsidP="00430CA4">
            <w:pPr>
              <w:pStyle w:val="a7"/>
              <w:ind w:hanging="105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F8533D">
              <w:rPr>
                <w:b w:val="0"/>
                <w:i/>
                <w:sz w:val="24"/>
                <w:szCs w:val="24"/>
              </w:rPr>
              <w:t>Перелік засновників</w:t>
            </w:r>
          </w:p>
          <w:p w14:paraId="304741A3" w14:textId="77777777" w:rsidR="00776E89" w:rsidRPr="00F8533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F8533D">
              <w:rPr>
                <w:b w:val="0"/>
                <w:i/>
                <w:sz w:val="24"/>
                <w:szCs w:val="24"/>
              </w:rPr>
              <w:t xml:space="preserve">(учасників) юридичної </w:t>
            </w: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BD6B0A2" w14:textId="09FAB24C" w:rsidR="007812BA" w:rsidRPr="00F8533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F8533D">
              <w:rPr>
                <w:b w:val="0"/>
                <w:i/>
                <w:sz w:val="24"/>
                <w:szCs w:val="24"/>
              </w:rPr>
              <w:t>особи</w:t>
            </w:r>
          </w:p>
        </w:tc>
        <w:tc>
          <w:tcPr>
            <w:tcW w:w="6662" w:type="dxa"/>
          </w:tcPr>
          <w:p w14:paraId="27E4B147" w14:textId="77777777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ШЕВЕЛЬ КОСТЯНТИН СЕМЕНОВИЧ</w:t>
            </w:r>
          </w:p>
          <w:p w14:paraId="22E2AF4A" w14:textId="4659B46C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Адреса засновника: Україна, 03041, місто Київ, вул. Генерала Родимцева</w:t>
            </w:r>
          </w:p>
          <w:p w14:paraId="7FA4E326" w14:textId="77777777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73AB330B" w14:textId="77777777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ШЕВЕЛЬ ВАДИМ СЕМЕНОВИЧ</w:t>
            </w:r>
          </w:p>
          <w:p w14:paraId="6643096C" w14:textId="737D1DC2" w:rsidR="00E94376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Адреса засновника: Україна, 03041, місто Київ, вул. Генерала Родимцева</w:t>
            </w:r>
          </w:p>
        </w:tc>
      </w:tr>
      <w:tr w:rsidR="00E94376" w:rsidRPr="00F8533D" w14:paraId="24430AF2" w14:textId="77777777" w:rsidTr="00430CA4">
        <w:trPr>
          <w:cantSplit/>
          <w:trHeight w:val="704"/>
        </w:trPr>
        <w:tc>
          <w:tcPr>
            <w:tcW w:w="2977" w:type="dxa"/>
          </w:tcPr>
          <w:p w14:paraId="36FBF243" w14:textId="77777777" w:rsidR="00776E89" w:rsidRPr="00F8533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F8533D">
              <w:rPr>
                <w:b w:val="0"/>
                <w:i/>
                <w:sz w:val="24"/>
                <w:szCs w:val="24"/>
              </w:rPr>
              <w:t xml:space="preserve">Кінцевий </w:t>
            </w:r>
            <w:proofErr w:type="spellStart"/>
            <w:r w:rsidR="00E94376" w:rsidRPr="00F8533D">
              <w:rPr>
                <w:b w:val="0"/>
                <w:i/>
                <w:sz w:val="24"/>
                <w:szCs w:val="24"/>
              </w:rPr>
              <w:t>бенефіціарний</w:t>
            </w:r>
            <w:proofErr w:type="spellEnd"/>
            <w:r w:rsidR="00E94376"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087F7364" w14:textId="14C1BF32" w:rsidR="00E94376" w:rsidRPr="00F8533D" w:rsidRDefault="00776E89" w:rsidP="0040429C">
            <w:pPr>
              <w:pStyle w:val="a7"/>
              <w:ind w:left="-105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F8533D">
              <w:rPr>
                <w:b w:val="0"/>
                <w:i/>
                <w:sz w:val="24"/>
                <w:szCs w:val="24"/>
              </w:rPr>
              <w:t>власник (контролер)</w:t>
            </w:r>
          </w:p>
        </w:tc>
        <w:tc>
          <w:tcPr>
            <w:tcW w:w="6662" w:type="dxa"/>
          </w:tcPr>
          <w:p w14:paraId="0B36B42C" w14:textId="77777777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ШЕВЕЛЬ ВАДИМ СЕМЕНОВИЧ</w:t>
            </w:r>
          </w:p>
          <w:p w14:paraId="7850FFE1" w14:textId="624D982C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Україна, 03041, місто Київ, вул. Генерала Родимцева</w:t>
            </w:r>
          </w:p>
          <w:p w14:paraId="56756475" w14:textId="77777777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</w:p>
          <w:p w14:paraId="709BC7E0" w14:textId="77777777" w:rsidR="00881212" w:rsidRPr="00F8533D" w:rsidRDefault="00881212" w:rsidP="00881212">
            <w:pPr>
              <w:pStyle w:val="a7"/>
              <w:jc w:val="both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ШЕВЕЛЬ КОСТЯНТИН СЕМЕНОВИЧ</w:t>
            </w:r>
          </w:p>
          <w:p w14:paraId="1C7A8B69" w14:textId="4154645D" w:rsidR="00E94376" w:rsidRPr="00F8533D" w:rsidRDefault="00881212" w:rsidP="00881212">
            <w:pPr>
              <w:pStyle w:val="a7"/>
              <w:jc w:val="both"/>
              <w:rPr>
                <w:b w:val="0"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Україна, 03041, місто Київ, вул. Генерала Родимцева</w:t>
            </w:r>
          </w:p>
        </w:tc>
      </w:tr>
      <w:tr w:rsidR="00E94376" w:rsidRPr="00F8533D" w14:paraId="55A3895A" w14:textId="77777777" w:rsidTr="00430CA4">
        <w:trPr>
          <w:cantSplit/>
          <w:trHeight w:val="381"/>
        </w:trPr>
        <w:tc>
          <w:tcPr>
            <w:tcW w:w="2977" w:type="dxa"/>
          </w:tcPr>
          <w:p w14:paraId="3B07AA8D" w14:textId="6A42CDB1" w:rsidR="00E94376" w:rsidRPr="00F8533D" w:rsidRDefault="00776E89" w:rsidP="00430CA4">
            <w:pPr>
              <w:pStyle w:val="a7"/>
              <w:shd w:val="clear" w:color="auto" w:fill="auto"/>
              <w:ind w:hanging="105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E94376" w:rsidRPr="00F8533D">
              <w:rPr>
                <w:b w:val="0"/>
                <w:i/>
                <w:sz w:val="24"/>
                <w:szCs w:val="24"/>
              </w:rPr>
              <w:t>Клопотання</w:t>
            </w:r>
          </w:p>
        </w:tc>
        <w:tc>
          <w:tcPr>
            <w:tcW w:w="6662" w:type="dxa"/>
          </w:tcPr>
          <w:p w14:paraId="3026A563" w14:textId="2EB3B310" w:rsidR="00E94376" w:rsidRPr="00F8533D" w:rsidRDefault="00E94376" w:rsidP="00FF0A55">
            <w:pPr>
              <w:pStyle w:val="a4"/>
              <w:shd w:val="clear" w:color="auto" w:fill="auto"/>
              <w:jc w:val="both"/>
              <w:rPr>
                <w:b/>
                <w:sz w:val="24"/>
                <w:szCs w:val="24"/>
              </w:rPr>
            </w:pPr>
            <w:r w:rsidRPr="00F8533D">
              <w:rPr>
                <w:b/>
                <w:i/>
                <w:sz w:val="24"/>
                <w:szCs w:val="24"/>
              </w:rPr>
              <w:t>від</w:t>
            </w:r>
            <w:r w:rsidRPr="00F8533D">
              <w:rPr>
                <w:b/>
                <w:sz w:val="24"/>
                <w:szCs w:val="24"/>
              </w:rPr>
              <w:t xml:space="preserve"> </w:t>
            </w:r>
            <w:r w:rsidR="001B1510" w:rsidRPr="00F8533D">
              <w:rPr>
                <w:b/>
                <w:i/>
                <w:color w:val="auto"/>
                <w:sz w:val="24"/>
                <w:szCs w:val="24"/>
                <w:highlight w:val="white"/>
                <w:lang w:bidi="ar-SA"/>
              </w:rPr>
              <w:t>21.03.2024</w:t>
            </w:r>
            <w:r w:rsidR="00905988" w:rsidRPr="00F8533D">
              <w:rPr>
                <w:b/>
                <w:i/>
                <w:sz w:val="24"/>
                <w:szCs w:val="24"/>
              </w:rPr>
              <w:t xml:space="preserve"> </w:t>
            </w:r>
            <w:r w:rsidR="00B34649" w:rsidRPr="00F8533D">
              <w:rPr>
                <w:b/>
                <w:bCs/>
                <w:i/>
                <w:sz w:val="24"/>
                <w:szCs w:val="24"/>
              </w:rPr>
              <w:t xml:space="preserve">№ </w:t>
            </w:r>
            <w:r w:rsidR="00B34649" w:rsidRPr="00F8533D">
              <w:rPr>
                <w:b/>
                <w:i/>
                <w:sz w:val="24"/>
                <w:szCs w:val="24"/>
              </w:rPr>
              <w:t>531005898</w:t>
            </w:r>
          </w:p>
        </w:tc>
      </w:tr>
    </w:tbl>
    <w:p w14:paraId="0CA06CD8" w14:textId="2CCFB8E7" w:rsidR="008A338E" w:rsidRPr="00F8533D" w:rsidRDefault="008A338E">
      <w:pPr>
        <w:spacing w:line="1" w:lineRule="exact"/>
        <w:rPr>
          <w:rFonts w:ascii="Times New Roman" w:hAnsi="Times New Roman" w:cs="Times New Roman"/>
        </w:rPr>
      </w:pPr>
    </w:p>
    <w:p w14:paraId="37F53D07" w14:textId="5632F77B" w:rsidR="00617D3B" w:rsidRPr="00F8533D" w:rsidRDefault="00617D3B">
      <w:pPr>
        <w:spacing w:line="1" w:lineRule="exact"/>
        <w:rPr>
          <w:rFonts w:ascii="Times New Roman" w:hAnsi="Times New Roman" w:cs="Times New Roman"/>
        </w:rPr>
      </w:pPr>
    </w:p>
    <w:p w14:paraId="40DE094B" w14:textId="77777777" w:rsidR="006A19DF" w:rsidRPr="00F8533D" w:rsidRDefault="006A19DF">
      <w:pPr>
        <w:pStyle w:val="a7"/>
        <w:shd w:val="clear" w:color="auto" w:fill="auto"/>
        <w:ind w:left="353"/>
        <w:rPr>
          <w:sz w:val="24"/>
          <w:szCs w:val="24"/>
        </w:rPr>
      </w:pPr>
    </w:p>
    <w:p w14:paraId="017C4029" w14:textId="2A0DF16F" w:rsidR="008A338E" w:rsidRPr="00F8533D" w:rsidRDefault="007B72F8" w:rsidP="00FB4E7A">
      <w:pPr>
        <w:pStyle w:val="a7"/>
        <w:shd w:val="clear" w:color="auto" w:fill="auto"/>
        <w:ind w:firstLine="426"/>
        <w:rPr>
          <w:sz w:val="24"/>
          <w:szCs w:val="24"/>
        </w:rPr>
      </w:pPr>
      <w:r w:rsidRPr="00F8533D">
        <w:rPr>
          <w:sz w:val="24"/>
          <w:szCs w:val="24"/>
        </w:rPr>
        <w:t>2. Відомості про земельну ділянку (</w:t>
      </w:r>
      <w:r w:rsidR="00056A2A" w:rsidRPr="00F8533D">
        <w:rPr>
          <w:sz w:val="24"/>
          <w:szCs w:val="24"/>
        </w:rPr>
        <w:t xml:space="preserve">кадастровий </w:t>
      </w:r>
      <w:r w:rsidRPr="00F8533D">
        <w:rPr>
          <w:sz w:val="24"/>
          <w:szCs w:val="24"/>
        </w:rPr>
        <w:t xml:space="preserve">№ </w:t>
      </w:r>
      <w:r w:rsidR="00C55118" w:rsidRPr="00F8533D">
        <w:rPr>
          <w:sz w:val="24"/>
          <w:szCs w:val="24"/>
        </w:rPr>
        <w:t>8000000000:79:334:0006</w:t>
      </w:r>
      <w:r w:rsidRPr="00F8533D">
        <w:rPr>
          <w:sz w:val="24"/>
          <w:szCs w:val="24"/>
        </w:rPr>
        <w:t>)</w:t>
      </w:r>
      <w:r w:rsidR="00880A60" w:rsidRPr="00F8533D">
        <w:rPr>
          <w:sz w:val="24"/>
          <w:szCs w:val="24"/>
        </w:rPr>
        <w:t>.</w:t>
      </w:r>
    </w:p>
    <w:tbl>
      <w:tblPr>
        <w:tblOverlap w:val="never"/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72"/>
        <w:gridCol w:w="6662"/>
      </w:tblGrid>
      <w:tr w:rsidR="008A338E" w:rsidRPr="00F8533D" w14:paraId="321C3785" w14:textId="77777777" w:rsidTr="00430CA4">
        <w:trPr>
          <w:trHeight w:val="389"/>
        </w:trPr>
        <w:tc>
          <w:tcPr>
            <w:tcW w:w="2972" w:type="dxa"/>
            <w:shd w:val="clear" w:color="auto" w:fill="FFFFFF"/>
          </w:tcPr>
          <w:p w14:paraId="16B62662" w14:textId="1C80AF88" w:rsidR="008A338E" w:rsidRPr="00F8533D" w:rsidRDefault="00776E89">
            <w:pPr>
              <w:pStyle w:val="a4"/>
              <w:shd w:val="clear" w:color="auto" w:fill="auto"/>
              <w:rPr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 xml:space="preserve"> </w:t>
            </w:r>
            <w:r w:rsidR="007B72F8" w:rsidRPr="00F8533D">
              <w:rPr>
                <w:i/>
                <w:sz w:val="24"/>
                <w:szCs w:val="24"/>
              </w:rPr>
              <w:t>Місце розташування</w:t>
            </w:r>
            <w:r w:rsidR="007B72F8" w:rsidRPr="00F8533D">
              <w:rPr>
                <w:sz w:val="24"/>
                <w:szCs w:val="24"/>
              </w:rPr>
              <w:t xml:space="preserve"> </w:t>
            </w:r>
            <w:r w:rsidR="007B72F8" w:rsidRPr="00F8533D">
              <w:rPr>
                <w:i/>
                <w:sz w:val="18"/>
                <w:szCs w:val="18"/>
              </w:rPr>
              <w:t>(адреса)</w:t>
            </w:r>
          </w:p>
        </w:tc>
        <w:tc>
          <w:tcPr>
            <w:tcW w:w="6662" w:type="dxa"/>
            <w:shd w:val="clear" w:color="auto" w:fill="FFFFFF"/>
          </w:tcPr>
          <w:p w14:paraId="64EB4E00" w14:textId="60EE6FC0" w:rsidR="008A338E" w:rsidRPr="00F8533D" w:rsidRDefault="00FF0A55" w:rsidP="00C91E5C">
            <w:pPr>
              <w:pStyle w:val="a4"/>
              <w:shd w:val="clear" w:color="auto" w:fill="auto"/>
              <w:spacing w:line="233" w:lineRule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F8533D">
              <w:rPr>
                <w:b/>
                <w:i/>
                <w:iCs/>
                <w:sz w:val="24"/>
                <w:szCs w:val="24"/>
              </w:rPr>
              <w:t xml:space="preserve">м. Київ, </w:t>
            </w:r>
            <w:r w:rsidR="002B5778" w:rsidRPr="00F8533D">
              <w:rPr>
                <w:b/>
                <w:i/>
                <w:sz w:val="24"/>
                <w:szCs w:val="24"/>
                <w:shd w:val="clear" w:color="auto" w:fill="FFFFFF"/>
              </w:rPr>
              <w:t>вул. Сумська, 3 у Голосіївському районі</w:t>
            </w:r>
          </w:p>
        </w:tc>
      </w:tr>
      <w:tr w:rsidR="008A338E" w:rsidRPr="00F8533D" w14:paraId="333A0AB7" w14:textId="77777777" w:rsidTr="00E7338E">
        <w:trPr>
          <w:trHeight w:val="317"/>
        </w:trPr>
        <w:tc>
          <w:tcPr>
            <w:tcW w:w="2972" w:type="dxa"/>
            <w:shd w:val="clear" w:color="auto" w:fill="FFFFFF"/>
          </w:tcPr>
          <w:p w14:paraId="7F8ABF7B" w14:textId="17B260E5" w:rsidR="008A338E" w:rsidRPr="00F8533D" w:rsidRDefault="00776E89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 xml:space="preserve"> </w:t>
            </w:r>
            <w:r w:rsidR="007B72F8" w:rsidRPr="00F8533D">
              <w:rPr>
                <w:i/>
                <w:sz w:val="24"/>
                <w:szCs w:val="24"/>
              </w:rPr>
              <w:t>Площа</w:t>
            </w:r>
          </w:p>
        </w:tc>
        <w:tc>
          <w:tcPr>
            <w:tcW w:w="6662" w:type="dxa"/>
            <w:shd w:val="clear" w:color="auto" w:fill="FFFFFF"/>
          </w:tcPr>
          <w:p w14:paraId="08E0CD8B" w14:textId="5C0B5CAB" w:rsidR="008A338E" w:rsidRPr="00F8533D" w:rsidRDefault="00C55118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</w:rPr>
            </w:pPr>
            <w:r w:rsidRPr="00F8533D">
              <w:rPr>
                <w:b/>
                <w:i/>
                <w:iCs/>
                <w:sz w:val="24"/>
                <w:szCs w:val="24"/>
              </w:rPr>
              <w:t>1,2357 га</w:t>
            </w:r>
          </w:p>
        </w:tc>
      </w:tr>
      <w:tr w:rsidR="008A338E" w:rsidRPr="00F8533D" w14:paraId="4D0D82D3" w14:textId="77777777" w:rsidTr="00430CA4">
        <w:trPr>
          <w:trHeight w:val="575"/>
        </w:trPr>
        <w:tc>
          <w:tcPr>
            <w:tcW w:w="2972" w:type="dxa"/>
            <w:shd w:val="clear" w:color="auto" w:fill="FFFFFF"/>
          </w:tcPr>
          <w:p w14:paraId="54B9D151" w14:textId="07424905" w:rsidR="008A338E" w:rsidRPr="00F8533D" w:rsidRDefault="00776E89" w:rsidP="00D732F1">
            <w:pPr>
              <w:pStyle w:val="a4"/>
              <w:shd w:val="clear" w:color="auto" w:fill="auto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 xml:space="preserve"> </w:t>
            </w:r>
            <w:r w:rsidR="007B72F8" w:rsidRPr="00F8533D">
              <w:rPr>
                <w:i/>
                <w:sz w:val="24"/>
                <w:szCs w:val="24"/>
              </w:rPr>
              <w:t xml:space="preserve">Вид та термін </w:t>
            </w:r>
            <w:r w:rsidR="00FB154C" w:rsidRPr="00F8533D">
              <w:rPr>
                <w:i/>
                <w:sz w:val="24"/>
                <w:szCs w:val="24"/>
              </w:rPr>
              <w:t>користування</w:t>
            </w:r>
          </w:p>
        </w:tc>
        <w:tc>
          <w:tcPr>
            <w:tcW w:w="6662" w:type="dxa"/>
            <w:shd w:val="clear" w:color="auto" w:fill="FFFFFF"/>
          </w:tcPr>
          <w:p w14:paraId="779FEB29" w14:textId="419B84C1" w:rsidR="008A338E" w:rsidRPr="00F8533D" w:rsidRDefault="00CC4E4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</w:rPr>
            </w:pPr>
            <w:r w:rsidRPr="00F8533D">
              <w:rPr>
                <w:b/>
                <w:i/>
                <w:sz w:val="24"/>
                <w:szCs w:val="24"/>
              </w:rPr>
              <w:t>о</w:t>
            </w:r>
            <w:r w:rsidR="0091277B" w:rsidRPr="00F8533D">
              <w:rPr>
                <w:b/>
                <w:i/>
                <w:sz w:val="24"/>
                <w:szCs w:val="24"/>
              </w:rPr>
              <w:t xml:space="preserve">ренда на </w:t>
            </w:r>
            <w:r w:rsidR="00C55118" w:rsidRPr="00F8533D">
              <w:rPr>
                <w:b/>
                <w:i/>
                <w:sz w:val="24"/>
                <w:szCs w:val="24"/>
              </w:rPr>
              <w:t>5</w:t>
            </w:r>
            <w:r w:rsidR="0091277B" w:rsidRPr="00F8533D">
              <w:rPr>
                <w:b/>
                <w:i/>
                <w:color w:val="FF0000"/>
                <w:sz w:val="24"/>
                <w:szCs w:val="24"/>
              </w:rPr>
              <w:t xml:space="preserve"> </w:t>
            </w:r>
            <w:r w:rsidR="0091277B" w:rsidRPr="00F8533D">
              <w:rPr>
                <w:b/>
                <w:i/>
                <w:sz w:val="24"/>
                <w:szCs w:val="24"/>
              </w:rPr>
              <w:t>років</w:t>
            </w:r>
            <w:r w:rsidR="00B51FA5" w:rsidRPr="00F8533D">
              <w:rPr>
                <w:b/>
                <w:i/>
                <w:sz w:val="24"/>
                <w:szCs w:val="24"/>
              </w:rPr>
              <w:t xml:space="preserve"> </w:t>
            </w:r>
            <w:r w:rsidRPr="00F8533D">
              <w:rPr>
                <w:b/>
                <w:i/>
                <w:sz w:val="24"/>
                <w:szCs w:val="24"/>
              </w:rPr>
              <w:t>(</w:t>
            </w:r>
            <w:r w:rsidR="006A19DF" w:rsidRPr="00F8533D">
              <w:rPr>
                <w:b/>
                <w:i/>
                <w:sz w:val="24"/>
                <w:szCs w:val="24"/>
              </w:rPr>
              <w:t>поновлення</w:t>
            </w:r>
            <w:r w:rsidR="00B51FA5" w:rsidRPr="00F8533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F8533D" w14:paraId="31A0509D" w14:textId="77777777" w:rsidTr="00E7338E">
        <w:trPr>
          <w:trHeight w:val="531"/>
        </w:trPr>
        <w:tc>
          <w:tcPr>
            <w:tcW w:w="2972" w:type="dxa"/>
            <w:shd w:val="clear" w:color="auto" w:fill="FFFFFF"/>
          </w:tcPr>
          <w:p w14:paraId="1AF37BE7" w14:textId="5E4B5805" w:rsidR="006764C8" w:rsidRPr="00F8533D" w:rsidRDefault="007A5002" w:rsidP="007A5002">
            <w:pPr>
              <w:pStyle w:val="a4"/>
              <w:shd w:val="clear" w:color="auto" w:fill="auto"/>
              <w:ind w:left="55"/>
              <w:rPr>
                <w:i/>
                <w:sz w:val="24"/>
                <w:szCs w:val="24"/>
              </w:rPr>
            </w:pPr>
            <w:r w:rsidRPr="00F8533D">
              <w:rPr>
                <w:i/>
                <w:sz w:val="24"/>
                <w:szCs w:val="24"/>
              </w:rPr>
              <w:t>Код виду цільового призначення</w:t>
            </w:r>
          </w:p>
        </w:tc>
        <w:tc>
          <w:tcPr>
            <w:tcW w:w="6662" w:type="dxa"/>
            <w:shd w:val="clear" w:color="auto" w:fill="FFFFFF"/>
          </w:tcPr>
          <w:p w14:paraId="09E50292" w14:textId="17C30206" w:rsidR="006764C8" w:rsidRPr="00F8533D" w:rsidRDefault="000B0B65" w:rsidP="005769B6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highlight w:val="yellow"/>
              </w:rPr>
            </w:pPr>
            <w:r w:rsidRPr="00F8533D">
              <w:rPr>
                <w:b/>
                <w:i/>
                <w:sz w:val="24"/>
                <w:szCs w:val="24"/>
              </w:rPr>
              <w:t>11.02</w:t>
            </w:r>
            <w:r w:rsidR="005769B6" w:rsidRPr="00F8533D">
              <w:rPr>
                <w:rFonts w:ascii="Courier New" w:eastAsia="Courier New" w:hAnsi="Courier New" w:cs="Courier New"/>
                <w:sz w:val="20"/>
                <w:szCs w:val="20"/>
                <w:highlight w:val="white"/>
                <w:lang w:bidi="ar-SA"/>
              </w:rPr>
              <w:t xml:space="preserve"> </w:t>
            </w:r>
            <w:r w:rsidR="005769B6" w:rsidRPr="00F8533D">
              <w:rPr>
                <w:b/>
                <w:i/>
                <w:sz w:val="24"/>
                <w:szCs w:val="24"/>
              </w:rPr>
              <w:t>для розміщення та експлуатації основних, підсобних і допоміжних будівель та споруд підприємств переробної, машинобудівної та іншої промисловості</w:t>
            </w:r>
            <w:r w:rsidRPr="00F8533D">
              <w:rPr>
                <w:b/>
                <w:i/>
                <w:sz w:val="24"/>
                <w:szCs w:val="24"/>
              </w:rPr>
              <w:t xml:space="preserve"> (</w:t>
            </w:r>
            <w:r w:rsidR="00C55118" w:rsidRPr="00F8533D">
              <w:rPr>
                <w:b/>
                <w:i/>
                <w:sz w:val="24"/>
                <w:szCs w:val="24"/>
              </w:rPr>
              <w:t>для реконструкції, будівництва, експлуатації і обслуговування складських приміщень та електромонтажного виробництва</w:t>
            </w:r>
            <w:r w:rsidRPr="00F8533D">
              <w:rPr>
                <w:b/>
                <w:i/>
                <w:sz w:val="24"/>
                <w:szCs w:val="24"/>
              </w:rPr>
              <w:t>)</w:t>
            </w:r>
          </w:p>
        </w:tc>
      </w:tr>
      <w:tr w:rsidR="006764C8" w:rsidRPr="00F8533D" w14:paraId="3D299986" w14:textId="77777777" w:rsidTr="00430CA4">
        <w:trPr>
          <w:trHeight w:val="671"/>
        </w:trPr>
        <w:tc>
          <w:tcPr>
            <w:tcW w:w="2972" w:type="dxa"/>
            <w:shd w:val="clear" w:color="auto" w:fill="FFFFFF"/>
          </w:tcPr>
          <w:p w14:paraId="758CF868" w14:textId="77777777" w:rsidR="00776E89" w:rsidRPr="00F8533D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F8533D">
              <w:rPr>
                <w:iCs w:val="0"/>
                <w:sz w:val="24"/>
                <w:szCs w:val="24"/>
              </w:rPr>
              <w:t xml:space="preserve"> </w:t>
            </w:r>
            <w:r w:rsidR="006764C8" w:rsidRPr="00F8533D">
              <w:rPr>
                <w:iCs w:val="0"/>
                <w:sz w:val="24"/>
                <w:szCs w:val="24"/>
              </w:rPr>
              <w:t xml:space="preserve">Нормативна грошова </w:t>
            </w:r>
            <w:r w:rsidRPr="00F8533D">
              <w:rPr>
                <w:iCs w:val="0"/>
                <w:sz w:val="24"/>
                <w:szCs w:val="24"/>
              </w:rPr>
              <w:t xml:space="preserve"> </w:t>
            </w:r>
          </w:p>
          <w:p w14:paraId="39B39DC6" w14:textId="3C229BDA" w:rsidR="006764C8" w:rsidRPr="00F8533D" w:rsidRDefault="00776E89" w:rsidP="006764C8">
            <w:pPr>
              <w:pStyle w:val="1"/>
              <w:shd w:val="clear" w:color="auto" w:fill="auto"/>
              <w:spacing w:line="202" w:lineRule="auto"/>
              <w:rPr>
                <w:iCs w:val="0"/>
                <w:sz w:val="24"/>
                <w:szCs w:val="24"/>
              </w:rPr>
            </w:pPr>
            <w:r w:rsidRPr="00F8533D">
              <w:rPr>
                <w:iCs w:val="0"/>
                <w:sz w:val="24"/>
                <w:szCs w:val="24"/>
              </w:rPr>
              <w:t xml:space="preserve"> </w:t>
            </w:r>
            <w:r w:rsidR="006764C8" w:rsidRPr="00F8533D">
              <w:rPr>
                <w:iCs w:val="0"/>
                <w:sz w:val="24"/>
                <w:szCs w:val="24"/>
              </w:rPr>
              <w:t xml:space="preserve">оцінка </w:t>
            </w:r>
          </w:p>
          <w:p w14:paraId="435422E1" w14:textId="5479AF50" w:rsidR="006764C8" w:rsidRPr="00F8533D" w:rsidRDefault="00776E89" w:rsidP="00056A2A">
            <w:pPr>
              <w:pStyle w:val="1"/>
              <w:shd w:val="clear" w:color="auto" w:fill="auto"/>
              <w:spacing w:line="202" w:lineRule="auto"/>
              <w:rPr>
                <w:sz w:val="24"/>
                <w:szCs w:val="24"/>
              </w:rPr>
            </w:pPr>
            <w:r w:rsidRPr="00F8533D">
              <w:rPr>
                <w:i w:val="0"/>
                <w:iCs w:val="0"/>
                <w:sz w:val="18"/>
                <w:szCs w:val="18"/>
              </w:rPr>
              <w:t xml:space="preserve"> </w:t>
            </w:r>
            <w:r w:rsidR="006764C8" w:rsidRPr="00F8533D">
              <w:rPr>
                <w:iCs w:val="0"/>
                <w:sz w:val="18"/>
                <w:szCs w:val="18"/>
              </w:rPr>
              <w:t>(за поперед</w:t>
            </w:r>
            <w:r w:rsidR="00056A2A" w:rsidRPr="00F8533D">
              <w:rPr>
                <w:iCs w:val="0"/>
                <w:sz w:val="18"/>
                <w:szCs w:val="18"/>
              </w:rPr>
              <w:t>нім</w:t>
            </w:r>
            <w:r w:rsidR="006764C8" w:rsidRPr="00F8533D">
              <w:rPr>
                <w:iCs w:val="0"/>
                <w:sz w:val="18"/>
                <w:szCs w:val="18"/>
              </w:rPr>
              <w:t xml:space="preserve"> розрахунком*)</w:t>
            </w:r>
          </w:p>
        </w:tc>
        <w:tc>
          <w:tcPr>
            <w:tcW w:w="6662" w:type="dxa"/>
            <w:shd w:val="clear" w:color="auto" w:fill="FFFFFF"/>
          </w:tcPr>
          <w:p w14:paraId="556B2805" w14:textId="77777777" w:rsidR="00DC70F6" w:rsidRPr="00F8533D" w:rsidRDefault="00DC70F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i/>
                <w:sz w:val="24"/>
                <w:szCs w:val="24"/>
                <w:shd w:val="clear" w:color="auto" w:fill="FFFFFF"/>
              </w:rPr>
            </w:pPr>
          </w:p>
          <w:p w14:paraId="0DCAEE6E" w14:textId="4CAE4A74" w:rsidR="006D7E33" w:rsidRPr="00F8533D" w:rsidRDefault="00DC70F6" w:rsidP="00FF0A55">
            <w:pPr>
              <w:pStyle w:val="a4"/>
              <w:shd w:val="clear" w:color="auto" w:fill="auto"/>
              <w:ind w:left="134"/>
              <w:jc w:val="both"/>
              <w:rPr>
                <w:b/>
                <w:sz w:val="24"/>
                <w:szCs w:val="24"/>
                <w:highlight w:val="yellow"/>
              </w:rPr>
            </w:pPr>
            <w:r w:rsidRPr="00F8533D">
              <w:rPr>
                <w:b/>
                <w:i/>
                <w:sz w:val="24"/>
                <w:szCs w:val="24"/>
                <w:shd w:val="clear" w:color="auto" w:fill="FFFFFF"/>
              </w:rPr>
              <w:t>23 151 399,10 грн</w:t>
            </w:r>
          </w:p>
        </w:tc>
      </w:tr>
    </w:tbl>
    <w:p w14:paraId="1EE201F4" w14:textId="534BA03A" w:rsidR="008A338E" w:rsidRPr="00F8533D" w:rsidRDefault="0049406D" w:rsidP="00603291">
      <w:pPr>
        <w:pStyle w:val="a4"/>
        <w:shd w:val="clear" w:color="auto" w:fill="auto"/>
        <w:spacing w:after="100" w:line="269" w:lineRule="auto"/>
        <w:jc w:val="both"/>
        <w:rPr>
          <w:sz w:val="18"/>
          <w:szCs w:val="18"/>
        </w:rPr>
      </w:pPr>
      <w:r w:rsidRPr="00F8533D">
        <w:rPr>
          <w:sz w:val="18"/>
          <w:szCs w:val="18"/>
        </w:rPr>
        <w:t>*</w:t>
      </w:r>
      <w:r w:rsidR="006A19DF" w:rsidRPr="00F8533D">
        <w:rPr>
          <w:sz w:val="18"/>
          <w:szCs w:val="18"/>
        </w:rPr>
        <w:t xml:space="preserve"> Наведені розрахунки НГО не є остаточними і будуть уточнені відповідно до вимог законодавства при оформленні права на земельну ділянку.</w:t>
      </w:r>
    </w:p>
    <w:p w14:paraId="5F719EF1" w14:textId="2D5B5AED" w:rsidR="008A338E" w:rsidRPr="00F8533D" w:rsidRDefault="007B72F8" w:rsidP="00772C24">
      <w:pPr>
        <w:pStyle w:val="1"/>
        <w:shd w:val="clear" w:color="auto" w:fill="auto"/>
        <w:ind w:firstLine="426"/>
        <w:jc w:val="both"/>
        <w:rPr>
          <w:sz w:val="24"/>
          <w:szCs w:val="24"/>
        </w:rPr>
      </w:pPr>
      <w:r w:rsidRPr="00F8533D">
        <w:rPr>
          <w:b/>
          <w:bCs/>
          <w:i w:val="0"/>
          <w:iCs w:val="0"/>
          <w:sz w:val="24"/>
          <w:szCs w:val="24"/>
        </w:rPr>
        <w:t>3. Обґрунтування прийняття рішення</w:t>
      </w:r>
      <w:r w:rsidR="00880A60" w:rsidRPr="00F8533D">
        <w:rPr>
          <w:b/>
          <w:bCs/>
          <w:i w:val="0"/>
          <w:iCs w:val="0"/>
          <w:sz w:val="24"/>
          <w:szCs w:val="24"/>
        </w:rPr>
        <w:t>.</w:t>
      </w:r>
    </w:p>
    <w:p w14:paraId="384BDBDA" w14:textId="77777777" w:rsidR="00772C24" w:rsidRPr="00F8533D" w:rsidRDefault="006A19DF" w:rsidP="00603291">
      <w:pPr>
        <w:pStyle w:val="af1"/>
        <w:ind w:firstLine="426"/>
        <w:jc w:val="both"/>
        <w:rPr>
          <w:rFonts w:ascii="Times New Roman" w:hAnsi="Times New Roman" w:cs="Times New Roman"/>
        </w:rPr>
      </w:pPr>
      <w:r w:rsidRPr="00F8533D">
        <w:rPr>
          <w:rFonts w:ascii="Times New Roman" w:hAnsi="Times New Roman" w:cs="Times New Roman"/>
        </w:rPr>
        <w:t>Розглянувши звернення зацікавленої особи, відповідно до Земельного кодексу України, Закону України «Про оренду землі» та Порядку набуття прав на землю із земель комунальної</w:t>
      </w:r>
    </w:p>
    <w:p w14:paraId="509D551C" w14:textId="318AF238" w:rsidR="006A19DF" w:rsidRPr="00F8533D" w:rsidRDefault="006A19DF" w:rsidP="00603291">
      <w:pPr>
        <w:pStyle w:val="af1"/>
        <w:jc w:val="both"/>
        <w:rPr>
          <w:rFonts w:ascii="Times New Roman" w:hAnsi="Times New Roman" w:cs="Times New Roman"/>
          <w:i/>
        </w:rPr>
      </w:pPr>
      <w:r w:rsidRPr="00F8533D">
        <w:rPr>
          <w:rFonts w:ascii="Times New Roman" w:hAnsi="Times New Roman" w:cs="Times New Roman"/>
        </w:rPr>
        <w:t>власності у місті Києві, затвердженого рішенням Київської міської ради від 20</w:t>
      </w:r>
      <w:r w:rsidR="001B1510" w:rsidRPr="00F8533D">
        <w:rPr>
          <w:rFonts w:ascii="Times New Roman" w:hAnsi="Times New Roman" w:cs="Times New Roman"/>
        </w:rPr>
        <w:t>.04.</w:t>
      </w:r>
      <w:r w:rsidRPr="00F8533D">
        <w:rPr>
          <w:rFonts w:ascii="Times New Roman" w:hAnsi="Times New Roman" w:cs="Times New Roman"/>
        </w:rPr>
        <w:t>2017</w:t>
      </w:r>
      <w:r w:rsidR="00B312AA" w:rsidRPr="00F8533D">
        <w:rPr>
          <w:rFonts w:ascii="Times New Roman" w:hAnsi="Times New Roman" w:cs="Times New Roman"/>
        </w:rPr>
        <w:t xml:space="preserve">                            </w:t>
      </w:r>
      <w:r w:rsidRPr="00F8533D">
        <w:rPr>
          <w:rFonts w:ascii="Times New Roman" w:hAnsi="Times New Roman" w:cs="Times New Roman"/>
        </w:rPr>
        <w:t xml:space="preserve">№ 241/2463, Департаментом земельних ресурсів виконавчого органу Київської міської ради (Київської міської державної адміністрації) розроблено цей </w:t>
      </w:r>
      <w:proofErr w:type="spellStart"/>
      <w:r w:rsidRPr="00F8533D">
        <w:rPr>
          <w:rFonts w:ascii="Times New Roman" w:hAnsi="Times New Roman" w:cs="Times New Roman"/>
        </w:rPr>
        <w:t>проєкт</w:t>
      </w:r>
      <w:proofErr w:type="spellEnd"/>
      <w:r w:rsidRPr="00F8533D">
        <w:rPr>
          <w:rFonts w:ascii="Times New Roman" w:hAnsi="Times New Roman" w:cs="Times New Roman"/>
        </w:rPr>
        <w:t xml:space="preserve"> рішення.</w:t>
      </w:r>
    </w:p>
    <w:p w14:paraId="54A31108" w14:textId="77777777" w:rsidR="006A19DF" w:rsidRPr="00F8533D" w:rsidRDefault="006A19DF" w:rsidP="00772C24">
      <w:pPr>
        <w:pStyle w:val="1"/>
        <w:shd w:val="clear" w:color="auto" w:fill="auto"/>
        <w:ind w:firstLine="567"/>
        <w:jc w:val="both"/>
        <w:rPr>
          <w:i w:val="0"/>
          <w:sz w:val="24"/>
          <w:szCs w:val="24"/>
        </w:rPr>
      </w:pPr>
    </w:p>
    <w:p w14:paraId="1152F837" w14:textId="3ED6E1D9" w:rsidR="00823CCF" w:rsidRPr="00F8533D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F8533D">
        <w:rPr>
          <w:b/>
          <w:bCs/>
          <w:i w:val="0"/>
          <w:sz w:val="24"/>
          <w:szCs w:val="24"/>
        </w:rPr>
        <w:t>4. Мета прийняття рішення.</w:t>
      </w:r>
    </w:p>
    <w:p w14:paraId="3E19F480" w14:textId="7CEB21A0" w:rsidR="00B51FA5" w:rsidRPr="00F8533D" w:rsidRDefault="00823CCF" w:rsidP="00664F25">
      <w:pPr>
        <w:pStyle w:val="1"/>
        <w:shd w:val="clear" w:color="auto" w:fill="auto"/>
        <w:ind w:firstLine="440"/>
        <w:jc w:val="both"/>
        <w:rPr>
          <w:i w:val="0"/>
          <w:sz w:val="24"/>
          <w:szCs w:val="24"/>
        </w:rPr>
      </w:pPr>
      <w:r w:rsidRPr="00F8533D">
        <w:rPr>
          <w:i w:val="0"/>
          <w:sz w:val="24"/>
          <w:szCs w:val="24"/>
        </w:rPr>
        <w:t>Метою прийняття рішення є забезпечення реалізації встановленого Земельним кодексом України права особи на оформлення права користування на землю.</w:t>
      </w:r>
    </w:p>
    <w:p w14:paraId="265628AC" w14:textId="77777777" w:rsidR="00FC32B6" w:rsidRPr="00F8533D" w:rsidRDefault="00FC32B6" w:rsidP="00E77A9B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01BAFCA4" w14:textId="77777777" w:rsidR="00BE7DD9" w:rsidRPr="00F8533D" w:rsidRDefault="00BE7DD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628723D0" w14:textId="77777777" w:rsidR="00BE7DD9" w:rsidRPr="00F8533D" w:rsidRDefault="00BE7DD9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</w:p>
    <w:p w14:paraId="270AC128" w14:textId="63F253D6" w:rsidR="00823CCF" w:rsidRPr="00F8533D" w:rsidRDefault="00823CCF" w:rsidP="00FC32B6">
      <w:pPr>
        <w:pStyle w:val="a7"/>
        <w:shd w:val="clear" w:color="auto" w:fill="auto"/>
        <w:ind w:right="283" w:firstLine="440"/>
        <w:rPr>
          <w:sz w:val="24"/>
          <w:szCs w:val="24"/>
        </w:rPr>
      </w:pPr>
      <w:r w:rsidRPr="00F8533D">
        <w:rPr>
          <w:sz w:val="24"/>
          <w:szCs w:val="24"/>
        </w:rPr>
        <w:lastRenderedPageBreak/>
        <w:t>5. О</w:t>
      </w:r>
      <w:r w:rsidR="00FC32B6" w:rsidRPr="00F8533D">
        <w:rPr>
          <w:sz w:val="24"/>
          <w:szCs w:val="24"/>
        </w:rPr>
        <w:t>собливі характеристики ділянки.</w:t>
      </w:r>
    </w:p>
    <w:tbl>
      <w:tblPr>
        <w:tblStyle w:val="a8"/>
        <w:tblW w:w="9634" w:type="dxa"/>
        <w:tblLook w:val="04A0" w:firstRow="1" w:lastRow="0" w:firstColumn="1" w:lastColumn="0" w:noHBand="0" w:noVBand="1"/>
      </w:tblPr>
      <w:tblGrid>
        <w:gridCol w:w="2972"/>
        <w:gridCol w:w="6662"/>
      </w:tblGrid>
      <w:tr w:rsidR="00823CCF" w:rsidRPr="00F8533D" w14:paraId="3425DFB0" w14:textId="77777777" w:rsidTr="00B312AA">
        <w:trPr>
          <w:cantSplit/>
          <w:trHeight w:val="2106"/>
        </w:trPr>
        <w:tc>
          <w:tcPr>
            <w:tcW w:w="2972" w:type="dxa"/>
          </w:tcPr>
          <w:p w14:paraId="09EACFBD" w14:textId="77777777" w:rsidR="00776E89" w:rsidRPr="00F853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 xml:space="preserve">Наявність будівель і </w:t>
            </w: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62A0DDEA" w14:textId="328758BA" w:rsidR="00823CCF" w:rsidRPr="00F853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>споруд на ділянці:</w:t>
            </w:r>
          </w:p>
        </w:tc>
        <w:tc>
          <w:tcPr>
            <w:tcW w:w="6662" w:type="dxa"/>
          </w:tcPr>
          <w:p w14:paraId="2E3AF910" w14:textId="04026270" w:rsidR="00FF0A55" w:rsidRPr="00F8533D" w:rsidRDefault="00056A2A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8533D">
              <w:rPr>
                <w:b w:val="0"/>
                <w:bCs w:val="0"/>
                <w:i/>
                <w:sz w:val="24"/>
                <w:szCs w:val="24"/>
              </w:rPr>
              <w:t>Забудована</w:t>
            </w:r>
            <w:r w:rsidR="00184E7D" w:rsidRPr="00F8533D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A215BE" w:rsidRPr="00F8533D">
              <w:rPr>
                <w:b w:val="0"/>
                <w:bCs w:val="0"/>
                <w:i/>
                <w:sz w:val="24"/>
                <w:szCs w:val="24"/>
              </w:rPr>
              <w:t xml:space="preserve"> На земельній ділянці розміщується комплекс адміністративних, виробничих та складських приміщень. Ділянка огороджена парканом</w:t>
            </w:r>
            <w:r w:rsidR="00043616" w:rsidRPr="00F8533D">
              <w:rPr>
                <w:b w:val="0"/>
                <w:bCs w:val="0"/>
                <w:i/>
                <w:sz w:val="24"/>
                <w:szCs w:val="24"/>
              </w:rPr>
              <w:t xml:space="preserve">, на огородженій території ростуть поодинокі дерева </w:t>
            </w:r>
            <w:r w:rsidR="00FF0A55" w:rsidRPr="00F8533D">
              <w:rPr>
                <w:b w:val="0"/>
                <w:bCs w:val="0"/>
                <w:i/>
                <w:sz w:val="24"/>
                <w:szCs w:val="24"/>
              </w:rPr>
              <w:t xml:space="preserve">(акт обстеження </w:t>
            </w:r>
            <w:r w:rsidR="007A5002" w:rsidRPr="00F8533D">
              <w:rPr>
                <w:b w:val="0"/>
                <w:bCs w:val="0"/>
                <w:i/>
                <w:sz w:val="24"/>
                <w:szCs w:val="24"/>
              </w:rPr>
              <w:t xml:space="preserve">земельної ділянки </w:t>
            </w:r>
            <w:r w:rsidR="00FF0A55" w:rsidRPr="00F8533D">
              <w:rPr>
                <w:b w:val="0"/>
                <w:bCs w:val="0"/>
                <w:i/>
                <w:sz w:val="24"/>
                <w:szCs w:val="24"/>
              </w:rPr>
              <w:t>від</w:t>
            </w:r>
            <w:r w:rsidR="006418FE" w:rsidRPr="00F8533D">
              <w:rPr>
                <w:b w:val="0"/>
                <w:bCs w:val="0"/>
                <w:i/>
                <w:sz w:val="24"/>
                <w:szCs w:val="24"/>
              </w:rPr>
              <w:t xml:space="preserve"> 11.04.2024 </w:t>
            </w:r>
            <w:r w:rsidR="00FF0A55" w:rsidRPr="00F8533D">
              <w:rPr>
                <w:b w:val="0"/>
                <w:bCs w:val="0"/>
                <w:i/>
                <w:sz w:val="24"/>
                <w:szCs w:val="24"/>
              </w:rPr>
              <w:t xml:space="preserve">№ </w:t>
            </w:r>
            <w:r w:rsidR="006418FE" w:rsidRPr="00F8533D">
              <w:rPr>
                <w:b w:val="0"/>
                <w:bCs w:val="0"/>
                <w:i/>
                <w:sz w:val="24"/>
                <w:szCs w:val="24"/>
              </w:rPr>
              <w:t>ДК/89-АО/2024</w:t>
            </w:r>
            <w:r w:rsidR="00FF0A55" w:rsidRPr="00F8533D">
              <w:rPr>
                <w:b w:val="0"/>
                <w:bCs w:val="0"/>
                <w:i/>
                <w:sz w:val="24"/>
                <w:szCs w:val="24"/>
              </w:rPr>
              <w:t>).</w:t>
            </w:r>
          </w:p>
          <w:p w14:paraId="6A871676" w14:textId="652F92F3" w:rsidR="00AA1D40" w:rsidRPr="00F8533D" w:rsidRDefault="00AA1D40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В Державному реєстрі речових прав на нерухоме майно за вказаною </w:t>
            </w:r>
            <w:proofErr w:type="spellStart"/>
            <w:r w:rsidRPr="00F8533D">
              <w:rPr>
                <w:b w:val="0"/>
                <w:bCs w:val="0"/>
                <w:i/>
                <w:sz w:val="24"/>
                <w:szCs w:val="24"/>
              </w:rPr>
              <w:t>адресою</w:t>
            </w:r>
            <w:proofErr w:type="spellEnd"/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 відсутні об'єкти нерухомого майна, які належать Товариству.</w:t>
            </w:r>
          </w:p>
          <w:p w14:paraId="506E57A9" w14:textId="28A69D39" w:rsidR="00823CCF" w:rsidRPr="00F8533D" w:rsidRDefault="00DC70F6" w:rsidP="00BE7DD9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8533D">
              <w:rPr>
                <w:b w:val="0"/>
                <w:bCs w:val="0"/>
                <w:i/>
                <w:sz w:val="24"/>
                <w:szCs w:val="24"/>
              </w:rPr>
              <w:t>Відповідно до реєстраційного посвідчення № 027907 від 30.10.2006 Київським міським бюро технічної інвентаризації та реєстрації права власності на об</w:t>
            </w:r>
            <w:r w:rsidR="00BE7DD9" w:rsidRPr="00F8533D">
              <w:rPr>
                <w:b w:val="0"/>
                <w:bCs w:val="0"/>
                <w:i/>
                <w:sz w:val="24"/>
                <w:szCs w:val="24"/>
              </w:rPr>
              <w:t>'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>єкти нерухомого майна  посвідчено, що нежи</w:t>
            </w:r>
            <w:r w:rsidR="00BE7DD9" w:rsidRPr="00F8533D">
              <w:rPr>
                <w:b w:val="0"/>
                <w:bCs w:val="0"/>
                <w:i/>
                <w:sz w:val="24"/>
                <w:szCs w:val="24"/>
              </w:rPr>
              <w:t>л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і будівні загальною площею 1083,7 </w:t>
            </w:r>
            <w:proofErr w:type="spellStart"/>
            <w:r w:rsidRPr="00F8533D">
              <w:rPr>
                <w:b w:val="0"/>
                <w:bCs w:val="0"/>
                <w:i/>
                <w:sz w:val="24"/>
                <w:szCs w:val="24"/>
              </w:rPr>
              <w:t>кв</w:t>
            </w:r>
            <w:proofErr w:type="spellEnd"/>
            <w:r w:rsidRPr="00F8533D">
              <w:rPr>
                <w:b w:val="0"/>
                <w:bCs w:val="0"/>
                <w:i/>
                <w:sz w:val="24"/>
                <w:szCs w:val="24"/>
              </w:rPr>
              <w:t>.</w:t>
            </w:r>
            <w:r w:rsidR="00F8533D">
              <w:rPr>
                <w:b w:val="0"/>
                <w:bCs w:val="0"/>
                <w:i/>
                <w:sz w:val="24"/>
                <w:szCs w:val="24"/>
              </w:rPr>
              <w:t xml:space="preserve"> 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>м на вул. Сумській, 3 зареєстровані за Товариством на підставі договору про поділ майна, що є у спільній частковій власності</w:t>
            </w:r>
            <w:r w:rsidR="00BE7DD9" w:rsidRPr="00F8533D">
              <w:rPr>
                <w:b w:val="0"/>
                <w:bCs w:val="0"/>
                <w:i/>
                <w:sz w:val="24"/>
                <w:szCs w:val="24"/>
              </w:rPr>
              <w:t>,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 від 04.10.2006 № 7546.</w:t>
            </w:r>
          </w:p>
        </w:tc>
      </w:tr>
      <w:tr w:rsidR="00823CCF" w:rsidRPr="00F8533D" w14:paraId="411B143D" w14:textId="77777777" w:rsidTr="00CA77A2">
        <w:trPr>
          <w:cantSplit/>
          <w:trHeight w:val="705"/>
        </w:trPr>
        <w:tc>
          <w:tcPr>
            <w:tcW w:w="2972" w:type="dxa"/>
          </w:tcPr>
          <w:p w14:paraId="2C032EFE" w14:textId="4705779A" w:rsidR="00823CCF" w:rsidRPr="00F853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>Наявність ДПТ:</w:t>
            </w:r>
          </w:p>
        </w:tc>
        <w:tc>
          <w:tcPr>
            <w:tcW w:w="6662" w:type="dxa"/>
          </w:tcPr>
          <w:p w14:paraId="112E87C4" w14:textId="46BD9B65" w:rsidR="00823CCF" w:rsidRPr="00F8533D" w:rsidRDefault="0018193A" w:rsidP="005279FB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8533D">
              <w:rPr>
                <w:b w:val="0"/>
                <w:bCs w:val="0"/>
                <w:i/>
                <w:sz w:val="24"/>
                <w:szCs w:val="24"/>
              </w:rPr>
              <w:t>Деталь</w:t>
            </w:r>
            <w:r w:rsidR="00F8533D" w:rsidRPr="00F8533D">
              <w:rPr>
                <w:b w:val="0"/>
                <w:bCs w:val="0"/>
                <w:i/>
                <w:sz w:val="24"/>
                <w:szCs w:val="24"/>
              </w:rPr>
              <w:t>ни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>й план території відсутній.</w:t>
            </w:r>
          </w:p>
        </w:tc>
      </w:tr>
      <w:tr w:rsidR="00823CCF" w:rsidRPr="00F8533D" w14:paraId="49FE8B42" w14:textId="77777777" w:rsidTr="00430CA4">
        <w:trPr>
          <w:cantSplit/>
          <w:trHeight w:val="804"/>
        </w:trPr>
        <w:tc>
          <w:tcPr>
            <w:tcW w:w="2972" w:type="dxa"/>
          </w:tcPr>
          <w:p w14:paraId="33123E55" w14:textId="77777777" w:rsidR="00776E89" w:rsidRPr="00F8533D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>Функціональне</w:t>
            </w:r>
            <w:r w:rsidR="00037B84"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46E43E2E" w14:textId="35051440" w:rsidR="00823CCF" w:rsidRPr="00F8533D" w:rsidRDefault="00776E89" w:rsidP="00430CA4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037B84" w:rsidRPr="00F8533D">
              <w:rPr>
                <w:b w:val="0"/>
                <w:i/>
                <w:sz w:val="24"/>
                <w:szCs w:val="24"/>
              </w:rPr>
              <w:t>п</w:t>
            </w:r>
            <w:r w:rsidR="00823CCF" w:rsidRPr="00F8533D">
              <w:rPr>
                <w:b w:val="0"/>
                <w:i/>
                <w:sz w:val="24"/>
                <w:szCs w:val="24"/>
              </w:rPr>
              <w:t>ризначення</w:t>
            </w:r>
          </w:p>
          <w:p w14:paraId="3D323245" w14:textId="4BF211BB" w:rsidR="00823CCF" w:rsidRPr="00F8533D" w:rsidRDefault="00776E89" w:rsidP="00430CA4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 xml:space="preserve">згідно </w:t>
            </w:r>
            <w:r w:rsidR="004D4B3C" w:rsidRPr="00F8533D">
              <w:rPr>
                <w:b w:val="0"/>
                <w:i/>
                <w:sz w:val="24"/>
                <w:szCs w:val="24"/>
              </w:rPr>
              <w:t>з Генпланом</w:t>
            </w:r>
            <w:r w:rsidR="004D4B3C" w:rsidRPr="00F8533D">
              <w:rPr>
                <w:i/>
                <w:sz w:val="24"/>
                <w:szCs w:val="24"/>
              </w:rPr>
              <w:t>:</w:t>
            </w:r>
          </w:p>
        </w:tc>
        <w:tc>
          <w:tcPr>
            <w:tcW w:w="6662" w:type="dxa"/>
          </w:tcPr>
          <w:p w14:paraId="49BF4673" w14:textId="2400DA19" w:rsidR="00823CCF" w:rsidRPr="00F8533D" w:rsidRDefault="005279FB" w:rsidP="00B455FE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8533D">
              <w:rPr>
                <w:b w:val="0"/>
                <w:bCs w:val="0"/>
                <w:i/>
                <w:sz w:val="24"/>
                <w:szCs w:val="24"/>
              </w:rPr>
              <w:t>Території комунально-складські (існуючі)</w:t>
            </w:r>
            <w:r w:rsidR="00F8533D" w:rsidRPr="00F8533D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F8533D" w14:paraId="529B325E" w14:textId="77777777" w:rsidTr="00430CA4">
        <w:trPr>
          <w:cantSplit/>
          <w:trHeight w:val="1689"/>
        </w:trPr>
        <w:tc>
          <w:tcPr>
            <w:tcW w:w="2972" w:type="dxa"/>
          </w:tcPr>
          <w:p w14:paraId="453148E1" w14:textId="4637054F" w:rsidR="00823CCF" w:rsidRPr="00F8533D" w:rsidRDefault="00776E89" w:rsidP="003F4C80">
            <w:pPr>
              <w:pStyle w:val="a7"/>
              <w:shd w:val="clear" w:color="auto" w:fill="auto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>Правовий режим:</w:t>
            </w:r>
          </w:p>
        </w:tc>
        <w:tc>
          <w:tcPr>
            <w:tcW w:w="6662" w:type="dxa"/>
          </w:tcPr>
          <w:p w14:paraId="7DFEA180" w14:textId="77777777" w:rsidR="00F8533D" w:rsidRPr="00F8533D" w:rsidRDefault="006A19DF" w:rsidP="00F8533D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Земельна ділянка </w:t>
            </w:r>
            <w:r w:rsidR="00532056" w:rsidRPr="00F8533D">
              <w:rPr>
                <w:b w:val="0"/>
                <w:bCs w:val="0"/>
                <w:i/>
                <w:sz w:val="24"/>
                <w:szCs w:val="24"/>
              </w:rPr>
              <w:t xml:space="preserve">згідно з відомостями Державного реєстру речових прав на нерухоме майно 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перебуває у комунальній власності територіальної громади міста Києва </w:t>
            </w:r>
          </w:p>
          <w:p w14:paraId="0EC5BAC8" w14:textId="50C820FE" w:rsidR="00823CCF" w:rsidRPr="00F8533D" w:rsidRDefault="006A19DF" w:rsidP="00F8533D">
            <w:pPr>
              <w:pStyle w:val="a7"/>
              <w:shd w:val="clear" w:color="auto" w:fill="auto"/>
              <w:jc w:val="both"/>
              <w:rPr>
                <w:b w:val="0"/>
                <w:bCs w:val="0"/>
                <w:i/>
                <w:sz w:val="24"/>
                <w:szCs w:val="24"/>
              </w:rPr>
            </w:pPr>
            <w:r w:rsidRPr="00F8533D">
              <w:rPr>
                <w:b w:val="0"/>
                <w:bCs w:val="0"/>
                <w:i/>
                <w:sz w:val="24"/>
                <w:szCs w:val="24"/>
              </w:rPr>
              <w:t>Згідно з відомостями Д</w:t>
            </w:r>
            <w:r w:rsidR="003F4C80" w:rsidRPr="00F8533D">
              <w:rPr>
                <w:b w:val="0"/>
                <w:bCs w:val="0"/>
                <w:i/>
                <w:sz w:val="24"/>
                <w:szCs w:val="24"/>
              </w:rPr>
              <w:t>ержавного земельного кадастру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: категорія земель - </w:t>
            </w:r>
            <w:r w:rsidR="00F8533D">
              <w:rPr>
                <w:b w:val="0"/>
                <w:bCs w:val="0"/>
                <w:i/>
                <w:sz w:val="24"/>
                <w:szCs w:val="24"/>
              </w:rPr>
              <w:t>н</w:t>
            </w:r>
            <w:r w:rsidRPr="00F8533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bidi="ar-SA"/>
              </w:rPr>
              <w:t>е визначено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 xml:space="preserve">, </w:t>
            </w:r>
            <w:r w:rsidR="00564A02" w:rsidRPr="00F8533D">
              <w:rPr>
                <w:b w:val="0"/>
                <w:bCs w:val="0"/>
                <w:i/>
                <w:sz w:val="24"/>
                <w:szCs w:val="24"/>
              </w:rPr>
              <w:t xml:space="preserve">код виду цільового призначення 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>-</w:t>
            </w:r>
            <w:r w:rsidRPr="00F8533D">
              <w:rPr>
                <w:b w:val="0"/>
                <w:bCs w:val="0"/>
                <w:i/>
                <w:color w:val="auto"/>
                <w:sz w:val="24"/>
                <w:szCs w:val="24"/>
              </w:rPr>
              <w:t xml:space="preserve"> </w:t>
            </w:r>
            <w:r w:rsidRPr="00F8533D">
              <w:rPr>
                <w:b w:val="0"/>
                <w:bCs w:val="0"/>
                <w:i/>
                <w:color w:val="auto"/>
                <w:sz w:val="24"/>
                <w:szCs w:val="24"/>
                <w:highlight w:val="white"/>
                <w:lang w:bidi="ar-SA"/>
              </w:rPr>
              <w:t>11.02</w:t>
            </w:r>
            <w:r w:rsidRPr="00F8533D">
              <w:rPr>
                <w:b w:val="0"/>
                <w:bCs w:val="0"/>
                <w:i/>
                <w:sz w:val="24"/>
                <w:szCs w:val="24"/>
              </w:rPr>
              <w:t>.</w:t>
            </w:r>
          </w:p>
        </w:tc>
      </w:tr>
      <w:tr w:rsidR="00823CCF" w:rsidRPr="00F8533D" w14:paraId="03F8D26F" w14:textId="77777777" w:rsidTr="00430CA4">
        <w:trPr>
          <w:cantSplit/>
          <w:trHeight w:val="1413"/>
        </w:trPr>
        <w:tc>
          <w:tcPr>
            <w:tcW w:w="2972" w:type="dxa"/>
          </w:tcPr>
          <w:p w14:paraId="381C544B" w14:textId="77777777" w:rsidR="00776E89" w:rsidRPr="00F8533D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>Розташування</w:t>
            </w:r>
            <w:r w:rsidR="00037B84"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 xml:space="preserve">в зеленій </w:t>
            </w: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</w:p>
          <w:p w14:paraId="26E82454" w14:textId="5E422A20" w:rsidR="00823CCF" w:rsidRPr="00F8533D" w:rsidRDefault="00776E8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 xml:space="preserve"> </w:t>
            </w:r>
            <w:r w:rsidR="00823CCF" w:rsidRPr="00F8533D">
              <w:rPr>
                <w:b w:val="0"/>
                <w:i/>
                <w:sz w:val="24"/>
                <w:szCs w:val="24"/>
              </w:rPr>
              <w:t>зоні:</w:t>
            </w:r>
          </w:p>
        </w:tc>
        <w:tc>
          <w:tcPr>
            <w:tcW w:w="6662" w:type="dxa"/>
          </w:tcPr>
          <w:p w14:paraId="32C67EBC" w14:textId="71CC1DB4" w:rsidR="00823CCF" w:rsidRPr="00F8533D" w:rsidRDefault="003F1E3E" w:rsidP="00B312AA">
            <w:pPr>
              <w:jc w:val="both"/>
              <w:rPr>
                <w:rFonts w:ascii="Times New Roman" w:eastAsia="Times New Roman" w:hAnsi="Times New Roman" w:cs="Times New Roman"/>
                <w:i/>
              </w:rPr>
            </w:pPr>
            <w:r w:rsidRPr="00F8533D">
              <w:rPr>
                <w:rFonts w:ascii="Times New Roman" w:eastAsia="Times New Roman" w:hAnsi="Times New Roman" w:cs="Times New Roman"/>
                <w:i/>
              </w:rPr>
              <w:t>Відповідно до Генерального плану міста Києва та проекту планування його приміської зони на період до 2020 року, затвердженого рішенням Київської міської ради від 28.03.2002 № 370/1804, земельна ділянка за функціональним призначенням  не відноситься до територій зелених насаджень.</w:t>
            </w:r>
          </w:p>
        </w:tc>
      </w:tr>
      <w:tr w:rsidR="00BE7DD9" w:rsidRPr="00F8533D" w14:paraId="4708CD8A" w14:textId="77777777" w:rsidTr="00430CA4">
        <w:trPr>
          <w:cantSplit/>
          <w:trHeight w:val="1413"/>
        </w:trPr>
        <w:tc>
          <w:tcPr>
            <w:tcW w:w="2972" w:type="dxa"/>
          </w:tcPr>
          <w:p w14:paraId="1275A1DF" w14:textId="6BCB4713" w:rsidR="00BE7DD9" w:rsidRPr="00F8533D" w:rsidRDefault="00BE7DD9" w:rsidP="003F4C80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t>Інші особливості:</w:t>
            </w:r>
          </w:p>
        </w:tc>
        <w:tc>
          <w:tcPr>
            <w:tcW w:w="6662" w:type="dxa"/>
          </w:tcPr>
          <w:p w14:paraId="5C0150E5" w14:textId="71A9B9CF" w:rsidR="00BE7DD9" w:rsidRPr="00F8533D" w:rsidRDefault="00BE7DD9" w:rsidP="00BE7D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Земельна ділянка відповідно до рішення Київської міської ради від 15.07.20</w:t>
            </w:r>
            <w:r w:rsidR="00F8533D"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0</w:t>
            </w: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4 № 437/1847 надавалась в оренду на 1 рік  Товариству</w:t>
            </w:r>
            <w:r w:rsidRPr="00F8533D">
              <w:rPr>
                <w:rFonts w:ascii="Times New Roman" w:hAnsi="Times New Roman" w:cs="Times New Roman"/>
                <w:i/>
              </w:rPr>
              <w:t xml:space="preserve"> </w:t>
            </w: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для реконструкції, будівництва, експлуатації і обслуговування складських приміщень та електромонтажного виробництва (договір оренди земельної ділянки від 17.10.2005 № 79-6-00361).</w:t>
            </w:r>
          </w:p>
          <w:p w14:paraId="3989496B" w14:textId="77777777" w:rsidR="00BE7DD9" w:rsidRPr="00F8533D" w:rsidRDefault="00BE7DD9" w:rsidP="00BE7D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Постійною комісі</w:t>
            </w:r>
            <w:bookmarkStart w:id="0" w:name="_GoBack"/>
            <w:bookmarkEnd w:id="0"/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єю Київської міської ради з питань містобудування, архітектури та землекористування на засіданні 08.11.2016 (протокол № 25) вирішено поновити договір на 1 рік (договір про поновлення договору оренди земельної ділянки від 12.05.2017  № 1630).</w:t>
            </w:r>
          </w:p>
          <w:p w14:paraId="15843508" w14:textId="77777777" w:rsidR="00BE7DD9" w:rsidRPr="00F8533D" w:rsidRDefault="00BE7DD9" w:rsidP="00BE7D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Рішенням Київської міської ради від 13.09.2018 № 1408/5472 договір поновлено на 5 років (договір про поновлення договору оренди земельної ділянки від 24.05.2019 № 163).</w:t>
            </w:r>
          </w:p>
          <w:p w14:paraId="0DAD2493" w14:textId="77777777" w:rsidR="00F8533D" w:rsidRPr="00F8533D" w:rsidRDefault="00F8533D" w:rsidP="00BE7DD9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0A115061" w14:textId="77777777" w:rsidR="00F8533D" w:rsidRDefault="00F8533D" w:rsidP="00F853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 xml:space="preserve">Термін оренди за договором до  24.05.2024. </w:t>
            </w:r>
          </w:p>
          <w:p w14:paraId="61B63675" w14:textId="77777777" w:rsidR="00F8533D" w:rsidRDefault="00F8533D" w:rsidP="00F8533D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</w:p>
          <w:p w14:paraId="45CF915F" w14:textId="07DAEF3B" w:rsidR="00F8533D" w:rsidRPr="00F8533D" w:rsidRDefault="00F8533D" w:rsidP="008165C0">
            <w:pPr>
              <w:shd w:val="clear" w:color="auto" w:fill="FFFFFF"/>
              <w:jc w:val="both"/>
              <w:rPr>
                <w:rFonts w:ascii="Times New Roman" w:eastAsia="Times New Roman" w:hAnsi="Times New Roman" w:cs="Times New Roman"/>
                <w:i/>
                <w:color w:val="auto"/>
              </w:rPr>
            </w:pP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Згідно з довідкою ГУ ДПС у м. Києві від 15.03.2024                                    № 446</w:t>
            </w:r>
            <w:r w:rsidR="008165C0">
              <w:rPr>
                <w:rFonts w:ascii="Times New Roman" w:eastAsia="Times New Roman" w:hAnsi="Times New Roman" w:cs="Times New Roman"/>
                <w:i/>
                <w:color w:val="auto"/>
              </w:rPr>
              <w:t>8</w:t>
            </w:r>
            <w:r w:rsidRPr="00F8533D">
              <w:rPr>
                <w:rFonts w:ascii="Times New Roman" w:eastAsia="Times New Roman" w:hAnsi="Times New Roman" w:cs="Times New Roman"/>
                <w:i/>
                <w:color w:val="auto"/>
              </w:rPr>
              <w:t>/АП/26-15-50-06-06Е станом на 15.03.2024 за Товариством податковий борг не обліковується.</w:t>
            </w:r>
          </w:p>
        </w:tc>
      </w:tr>
      <w:tr w:rsidR="00FC7A92" w:rsidRPr="00F8533D" w14:paraId="4912F663" w14:textId="77777777" w:rsidTr="00F8533D">
        <w:trPr>
          <w:cantSplit/>
          <w:trHeight w:val="1712"/>
        </w:trPr>
        <w:tc>
          <w:tcPr>
            <w:tcW w:w="2972" w:type="dxa"/>
          </w:tcPr>
          <w:p w14:paraId="171FC032" w14:textId="600106B5" w:rsidR="00FC7A92" w:rsidRPr="00F8533D" w:rsidRDefault="00776E89" w:rsidP="00BE7DD9">
            <w:pPr>
              <w:pStyle w:val="a7"/>
              <w:ind w:left="-120"/>
              <w:rPr>
                <w:b w:val="0"/>
                <w:i/>
                <w:sz w:val="24"/>
                <w:szCs w:val="24"/>
              </w:rPr>
            </w:pPr>
            <w:r w:rsidRPr="00F8533D">
              <w:rPr>
                <w:b w:val="0"/>
                <w:i/>
                <w:sz w:val="24"/>
                <w:szCs w:val="24"/>
              </w:rPr>
              <w:lastRenderedPageBreak/>
              <w:t xml:space="preserve"> </w:t>
            </w:r>
          </w:p>
        </w:tc>
        <w:tc>
          <w:tcPr>
            <w:tcW w:w="6662" w:type="dxa"/>
          </w:tcPr>
          <w:p w14:paraId="381CEF3E" w14:textId="47A4C9A3" w:rsidR="00DE0E7B" w:rsidRPr="00F8533D" w:rsidRDefault="001D49C8" w:rsidP="002D6E0D">
            <w:pPr>
              <w:jc w:val="both"/>
            </w:pPr>
            <w:r w:rsidRPr="00F8533D">
              <w:rPr>
                <w:rFonts w:ascii="Times New Roman" w:hAnsi="Times New Roman" w:cs="Times New Roman"/>
                <w:i/>
              </w:rPr>
              <w:t xml:space="preserve">Зважаючи на положення статей 9, 122 Земельного кодексу України та пункту 34 частини першої статті 26 Закону України «Про місцеве самоврядування в Україні» (щодо обов’язковості розгляду питань землекористування на пленарних засіданнях) вказаний </w:t>
            </w:r>
            <w:proofErr w:type="spellStart"/>
            <w:r w:rsidRPr="00F8533D">
              <w:rPr>
                <w:rFonts w:ascii="Times New Roman" w:hAnsi="Times New Roman" w:cs="Times New Roman"/>
                <w:i/>
              </w:rPr>
              <w:t>проєкт</w:t>
            </w:r>
            <w:proofErr w:type="spellEnd"/>
            <w:r w:rsidRPr="00F8533D">
              <w:rPr>
                <w:rFonts w:ascii="Times New Roman" w:hAnsi="Times New Roman" w:cs="Times New Roman"/>
                <w:i/>
              </w:rPr>
              <w:t xml:space="preserve"> рішення направляється для подальшого розгляду Київською міською радою.</w:t>
            </w:r>
          </w:p>
        </w:tc>
      </w:tr>
    </w:tbl>
    <w:p w14:paraId="7BADA185" w14:textId="77777777" w:rsidR="00823CCF" w:rsidRPr="00F8533D" w:rsidRDefault="00823CCF" w:rsidP="00823CCF">
      <w:pPr>
        <w:pStyle w:val="a7"/>
        <w:shd w:val="clear" w:color="auto" w:fill="auto"/>
        <w:rPr>
          <w:sz w:val="24"/>
          <w:szCs w:val="24"/>
        </w:rPr>
      </w:pPr>
    </w:p>
    <w:p w14:paraId="3D94B9F3" w14:textId="77777777" w:rsidR="006A19DF" w:rsidRPr="00F8533D" w:rsidRDefault="006A19DF" w:rsidP="00765401">
      <w:pPr>
        <w:pStyle w:val="a7"/>
        <w:shd w:val="clear" w:color="auto" w:fill="auto"/>
        <w:spacing w:line="233" w:lineRule="auto"/>
        <w:ind w:firstLine="426"/>
        <w:jc w:val="both"/>
        <w:rPr>
          <w:sz w:val="24"/>
          <w:szCs w:val="24"/>
        </w:rPr>
      </w:pPr>
      <w:r w:rsidRPr="00F8533D">
        <w:rPr>
          <w:sz w:val="24"/>
          <w:szCs w:val="24"/>
        </w:rPr>
        <w:t>6. Стан нормативно-правової бази у даній сфері правового регулювання.</w:t>
      </w:r>
    </w:p>
    <w:p w14:paraId="0DAE8269" w14:textId="77777777" w:rsidR="006A19DF" w:rsidRPr="00F8533D" w:rsidRDefault="006A19DF" w:rsidP="00765401">
      <w:pPr>
        <w:spacing w:after="59" w:line="1" w:lineRule="exact"/>
        <w:ind w:firstLine="709"/>
        <w:rPr>
          <w:rFonts w:ascii="Times New Roman" w:hAnsi="Times New Roman" w:cs="Times New Roman"/>
        </w:rPr>
      </w:pPr>
    </w:p>
    <w:p w14:paraId="7ACDB588" w14:textId="23107141" w:rsidR="006A19DF" w:rsidRPr="00F8533D" w:rsidRDefault="001D49C8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  <w:r w:rsidRPr="00F8533D">
        <w:rPr>
          <w:i w:val="0"/>
          <w:sz w:val="24"/>
          <w:szCs w:val="24"/>
        </w:rPr>
        <w:t>Загальні засади та порядок поновлення договорів оренди земельних ділянок  визначено Законом України «Про оренду землі» і Порядком набуття прав на землю із земель комунальної власності у місті Києві, затвердженим рішенням Київської міської ради від 20.04.2017 № 241/2463.</w:t>
      </w:r>
    </w:p>
    <w:p w14:paraId="5636980B" w14:textId="0066ADE2" w:rsidR="00061CD4" w:rsidRPr="00F8533D" w:rsidRDefault="00061CD4" w:rsidP="003C2921">
      <w:pPr>
        <w:pStyle w:val="1"/>
        <w:shd w:val="clear" w:color="auto" w:fill="auto"/>
        <w:tabs>
          <w:tab w:val="left" w:pos="709"/>
          <w:tab w:val="left" w:pos="851"/>
        </w:tabs>
        <w:ind w:firstLine="425"/>
        <w:jc w:val="both"/>
        <w:rPr>
          <w:i w:val="0"/>
          <w:color w:val="auto"/>
          <w:sz w:val="24"/>
          <w:szCs w:val="24"/>
        </w:rPr>
      </w:pPr>
      <w:proofErr w:type="spellStart"/>
      <w:r w:rsidRPr="00F8533D">
        <w:rPr>
          <w:i w:val="0"/>
          <w:sz w:val="24"/>
          <w:szCs w:val="24"/>
        </w:rPr>
        <w:t>Про</w:t>
      </w:r>
      <w:r w:rsidR="007A5002" w:rsidRPr="00F8533D">
        <w:rPr>
          <w:i w:val="0"/>
          <w:sz w:val="24"/>
          <w:szCs w:val="24"/>
        </w:rPr>
        <w:t>є</w:t>
      </w:r>
      <w:r w:rsidRPr="00F8533D">
        <w:rPr>
          <w:i w:val="0"/>
          <w:sz w:val="24"/>
          <w:szCs w:val="24"/>
        </w:rPr>
        <w:t>кт</w:t>
      </w:r>
      <w:proofErr w:type="spellEnd"/>
      <w:r w:rsidRPr="00F8533D">
        <w:rPr>
          <w:i w:val="0"/>
          <w:sz w:val="24"/>
          <w:szCs w:val="24"/>
        </w:rPr>
        <w:t xml:space="preserve"> рішення не містить інформацію з обмеженим доступом у розумінні статті 6 Закону України «Про доступ до публічної інформації».</w:t>
      </w:r>
    </w:p>
    <w:p w14:paraId="4C69672E" w14:textId="77777777" w:rsidR="003C2921" w:rsidRPr="00F8533D" w:rsidRDefault="003C2921" w:rsidP="003C2921">
      <w:pPr>
        <w:tabs>
          <w:tab w:val="left" w:pos="993"/>
        </w:tabs>
        <w:ind w:firstLine="426"/>
        <w:jc w:val="both"/>
        <w:rPr>
          <w:rFonts w:ascii="Times New Roman" w:eastAsia="Times New Roman" w:hAnsi="Times New Roman" w:cs="Times New Roman"/>
          <w:iCs/>
        </w:rPr>
      </w:pPr>
      <w:proofErr w:type="spellStart"/>
      <w:r w:rsidRPr="00F8533D">
        <w:rPr>
          <w:rFonts w:ascii="Times New Roman" w:eastAsia="Times New Roman" w:hAnsi="Times New Roman" w:cs="Times New Roman"/>
          <w:iCs/>
        </w:rPr>
        <w:t>Проєкт</w:t>
      </w:r>
      <w:proofErr w:type="spellEnd"/>
      <w:r w:rsidRPr="00F8533D">
        <w:rPr>
          <w:rFonts w:ascii="Times New Roman" w:eastAsia="Times New Roman" w:hAnsi="Times New Roman" w:cs="Times New Roman"/>
          <w:iCs/>
        </w:rPr>
        <w:t xml:space="preserve"> рішення не стосується прав і соціальної захищеності осіб з інвалідністю та не матиме впливу на життєдіяльність цієї категорії.</w:t>
      </w:r>
    </w:p>
    <w:p w14:paraId="40BA15DF" w14:textId="77777777" w:rsidR="006A19DF" w:rsidRPr="00F8533D" w:rsidRDefault="006A19DF" w:rsidP="006A19DF">
      <w:pPr>
        <w:pStyle w:val="1"/>
        <w:shd w:val="clear" w:color="auto" w:fill="auto"/>
        <w:spacing w:line="233" w:lineRule="auto"/>
        <w:ind w:firstLine="440"/>
        <w:jc w:val="both"/>
        <w:rPr>
          <w:i w:val="0"/>
          <w:sz w:val="24"/>
          <w:szCs w:val="24"/>
        </w:rPr>
      </w:pPr>
    </w:p>
    <w:p w14:paraId="3DE5E268" w14:textId="77777777" w:rsidR="006A19DF" w:rsidRPr="00F8533D" w:rsidRDefault="006A19DF" w:rsidP="00765401">
      <w:pPr>
        <w:pStyle w:val="1"/>
        <w:shd w:val="clear" w:color="auto" w:fill="auto"/>
        <w:spacing w:line="230" w:lineRule="auto"/>
        <w:ind w:firstLine="426"/>
        <w:rPr>
          <w:i w:val="0"/>
          <w:sz w:val="24"/>
          <w:szCs w:val="24"/>
        </w:rPr>
      </w:pPr>
      <w:r w:rsidRPr="00F8533D">
        <w:rPr>
          <w:b/>
          <w:bCs/>
          <w:i w:val="0"/>
          <w:sz w:val="24"/>
          <w:szCs w:val="24"/>
        </w:rPr>
        <w:t>7. Фінансово-економічне обґрунтування.</w:t>
      </w:r>
    </w:p>
    <w:p w14:paraId="372B73D1" w14:textId="7B479DBC" w:rsidR="006A19DF" w:rsidRPr="00F8533D" w:rsidRDefault="006A19DF" w:rsidP="006A19DF">
      <w:pPr>
        <w:pStyle w:val="1"/>
        <w:shd w:val="clear" w:color="auto" w:fill="auto"/>
        <w:spacing w:line="230" w:lineRule="auto"/>
        <w:ind w:firstLine="440"/>
        <w:rPr>
          <w:i w:val="0"/>
          <w:sz w:val="24"/>
          <w:szCs w:val="24"/>
        </w:rPr>
      </w:pPr>
      <w:r w:rsidRPr="00F8533D">
        <w:rPr>
          <w:i w:val="0"/>
          <w:sz w:val="24"/>
          <w:szCs w:val="24"/>
        </w:rPr>
        <w:t>Реалізація рішення не потребує додаткових витрат міського бюджету.</w:t>
      </w:r>
    </w:p>
    <w:p w14:paraId="1906F012" w14:textId="3DD21B45" w:rsidR="006A19DF" w:rsidRPr="00F8533D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i w:val="0"/>
          <w:sz w:val="24"/>
          <w:szCs w:val="24"/>
        </w:rPr>
      </w:pPr>
      <w:r w:rsidRPr="00F8533D">
        <w:rPr>
          <w:i w:val="0"/>
          <w:sz w:val="24"/>
          <w:szCs w:val="24"/>
        </w:rPr>
        <w:t>Відповідно до Податкового кодексу України та рішення Київської міської ради</w:t>
      </w:r>
      <w:r w:rsidR="00B312AA" w:rsidRPr="00F8533D">
        <w:rPr>
          <w:i w:val="0"/>
          <w:sz w:val="24"/>
          <w:szCs w:val="24"/>
        </w:rPr>
        <w:t xml:space="preserve">                             </w:t>
      </w:r>
      <w:r w:rsidRPr="00F8533D">
        <w:rPr>
          <w:i w:val="0"/>
          <w:sz w:val="24"/>
          <w:szCs w:val="24"/>
        </w:rPr>
        <w:t xml:space="preserve"> </w:t>
      </w:r>
      <w:r w:rsidR="002F2D3F" w:rsidRPr="00F8533D">
        <w:rPr>
          <w:i w:val="0"/>
          <w:sz w:val="24"/>
          <w:szCs w:val="24"/>
        </w:rPr>
        <w:t xml:space="preserve">від </w:t>
      </w:r>
      <w:r w:rsidR="003F1E3E" w:rsidRPr="00F8533D">
        <w:rPr>
          <w:i w:val="0"/>
          <w:sz w:val="24"/>
          <w:szCs w:val="24"/>
        </w:rPr>
        <w:t xml:space="preserve">14.12.2023 № 7531/7572 «Про бюджет міста Києва на 2024 рік» </w:t>
      </w:r>
      <w:r w:rsidRPr="00F8533D">
        <w:rPr>
          <w:i w:val="0"/>
          <w:sz w:val="24"/>
          <w:szCs w:val="24"/>
        </w:rPr>
        <w:t xml:space="preserve">орієнтовний розмір річної орендної плати складатиме: </w:t>
      </w:r>
      <w:r w:rsidRPr="00F8533D">
        <w:rPr>
          <w:b/>
          <w:sz w:val="24"/>
          <w:szCs w:val="24"/>
          <w:shd w:val="clear" w:color="auto" w:fill="FFFFFF"/>
        </w:rPr>
        <w:t xml:space="preserve"> </w:t>
      </w:r>
      <w:r w:rsidR="00DC70F6" w:rsidRPr="00F8533D">
        <w:rPr>
          <w:b/>
          <w:sz w:val="24"/>
          <w:szCs w:val="24"/>
          <w:shd w:val="clear" w:color="auto" w:fill="FFFFFF"/>
        </w:rPr>
        <w:t>694 541,97 грн на рік (3%)</w:t>
      </w:r>
      <w:r w:rsidRPr="00F8533D">
        <w:rPr>
          <w:b/>
          <w:sz w:val="24"/>
          <w:szCs w:val="24"/>
          <w:shd w:val="clear" w:color="auto" w:fill="FFFFFF"/>
        </w:rPr>
        <w:t>.</w:t>
      </w:r>
    </w:p>
    <w:p w14:paraId="3A349F88" w14:textId="77777777" w:rsidR="006A19DF" w:rsidRPr="00F8533D" w:rsidRDefault="006A19DF" w:rsidP="006A19DF">
      <w:pPr>
        <w:pStyle w:val="1"/>
        <w:shd w:val="clear" w:color="auto" w:fill="auto"/>
        <w:spacing w:line="230" w:lineRule="auto"/>
        <w:ind w:firstLine="440"/>
        <w:jc w:val="both"/>
        <w:rPr>
          <w:sz w:val="24"/>
          <w:szCs w:val="24"/>
        </w:rPr>
      </w:pPr>
    </w:p>
    <w:p w14:paraId="0FD8F8B4" w14:textId="77777777" w:rsidR="006A19DF" w:rsidRPr="00F8533D" w:rsidRDefault="006A19DF" w:rsidP="00765401">
      <w:pPr>
        <w:pStyle w:val="1"/>
        <w:shd w:val="clear" w:color="auto" w:fill="auto"/>
        <w:ind w:firstLine="426"/>
        <w:jc w:val="both"/>
        <w:rPr>
          <w:i w:val="0"/>
          <w:sz w:val="24"/>
          <w:szCs w:val="24"/>
        </w:rPr>
      </w:pPr>
      <w:r w:rsidRPr="00F8533D">
        <w:rPr>
          <w:b/>
          <w:bCs/>
          <w:i w:val="0"/>
          <w:sz w:val="24"/>
          <w:szCs w:val="24"/>
        </w:rPr>
        <w:t>8. Прогноз соціально-економічних та інших наслідків прийняття рішення.</w:t>
      </w:r>
    </w:p>
    <w:p w14:paraId="11C9D222" w14:textId="5B5F0A89" w:rsidR="006A19DF" w:rsidRPr="00F8533D" w:rsidRDefault="006A19DF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  <w:r w:rsidRPr="00F8533D">
        <w:rPr>
          <w:i w:val="0"/>
          <w:sz w:val="24"/>
          <w:szCs w:val="24"/>
        </w:rPr>
        <w:t xml:space="preserve">Наслідками прийняття розробленого </w:t>
      </w:r>
      <w:proofErr w:type="spellStart"/>
      <w:r w:rsidRPr="00F8533D">
        <w:rPr>
          <w:i w:val="0"/>
          <w:sz w:val="24"/>
          <w:szCs w:val="24"/>
        </w:rPr>
        <w:t>проєкту</w:t>
      </w:r>
      <w:proofErr w:type="spellEnd"/>
      <w:r w:rsidRPr="00F8533D">
        <w:rPr>
          <w:i w:val="0"/>
          <w:sz w:val="24"/>
          <w:szCs w:val="24"/>
        </w:rPr>
        <w:t xml:space="preserve"> рішення стане реалізація зацікавленою особою своїх прав щодо оформлення права користування земельною ділянкою.</w:t>
      </w:r>
    </w:p>
    <w:p w14:paraId="7D9320DA" w14:textId="77777777" w:rsidR="00E8544C" w:rsidRPr="00F8533D" w:rsidRDefault="00E8544C" w:rsidP="006A19DF">
      <w:pPr>
        <w:pStyle w:val="1"/>
        <w:shd w:val="clear" w:color="auto" w:fill="auto"/>
        <w:ind w:firstLine="280"/>
        <w:jc w:val="both"/>
        <w:rPr>
          <w:i w:val="0"/>
          <w:sz w:val="24"/>
          <w:szCs w:val="24"/>
        </w:rPr>
      </w:pPr>
    </w:p>
    <w:p w14:paraId="068F136F" w14:textId="749CBA15" w:rsidR="006A19DF" w:rsidRPr="00F8533D" w:rsidRDefault="006A19DF" w:rsidP="006A19DF">
      <w:pPr>
        <w:pStyle w:val="a7"/>
        <w:shd w:val="clear" w:color="auto" w:fill="auto"/>
        <w:spacing w:line="233" w:lineRule="auto"/>
        <w:jc w:val="both"/>
        <w:rPr>
          <w:sz w:val="20"/>
          <w:szCs w:val="20"/>
        </w:rPr>
      </w:pPr>
      <w:r w:rsidRPr="00F8533D">
        <w:rPr>
          <w:i/>
          <w:iCs/>
          <w:sz w:val="20"/>
          <w:szCs w:val="20"/>
        </w:rPr>
        <w:t xml:space="preserve">Доповідач: директор Департаменту земельних ресурсів </w:t>
      </w:r>
      <w:r w:rsidRPr="00F8533D">
        <w:rPr>
          <w:rStyle w:val="ae"/>
          <w:b/>
          <w:i/>
          <w:sz w:val="20"/>
          <w:szCs w:val="20"/>
        </w:rPr>
        <w:t>Валентина ПЕЛИХ</w:t>
      </w:r>
    </w:p>
    <w:tbl>
      <w:tblPr>
        <w:tblStyle w:val="a8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93"/>
        <w:gridCol w:w="4946"/>
      </w:tblGrid>
      <w:tr w:rsidR="0086252E" w:rsidRPr="00F8533D" w14:paraId="4194002D" w14:textId="77777777" w:rsidTr="00765401">
        <w:trPr>
          <w:trHeight w:val="663"/>
        </w:trPr>
        <w:tc>
          <w:tcPr>
            <w:tcW w:w="4693" w:type="dxa"/>
            <w:hideMark/>
          </w:tcPr>
          <w:p w14:paraId="06EA5FBF" w14:textId="6836D375" w:rsidR="001239A5" w:rsidRPr="00F8533D" w:rsidRDefault="001239A5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1A5B120A" w14:textId="77777777" w:rsidR="00E7338E" w:rsidRPr="00F8533D" w:rsidRDefault="00E7338E" w:rsidP="000E3D00">
            <w:pPr>
              <w:pStyle w:val="30"/>
              <w:ind w:hanging="120"/>
              <w:jc w:val="both"/>
              <w:rPr>
                <w:rStyle w:val="ae"/>
                <w:sz w:val="24"/>
                <w:szCs w:val="24"/>
              </w:rPr>
            </w:pPr>
          </w:p>
          <w:p w14:paraId="06F4E30F" w14:textId="58A68287" w:rsidR="0086252E" w:rsidRPr="00F8533D" w:rsidRDefault="000E3D00" w:rsidP="00765401">
            <w:pPr>
              <w:pStyle w:val="30"/>
              <w:ind w:left="-105" w:firstLine="0"/>
              <w:jc w:val="both"/>
              <w:rPr>
                <w:rStyle w:val="ae"/>
                <w:b/>
                <w:sz w:val="24"/>
                <w:szCs w:val="24"/>
              </w:rPr>
            </w:pPr>
            <w:r w:rsidRPr="00F8533D">
              <w:rPr>
                <w:rStyle w:val="ae"/>
                <w:sz w:val="24"/>
                <w:szCs w:val="24"/>
              </w:rPr>
              <w:t xml:space="preserve">Директор </w:t>
            </w:r>
            <w:r w:rsidR="0086252E" w:rsidRPr="00F8533D">
              <w:rPr>
                <w:rStyle w:val="ae"/>
                <w:sz w:val="24"/>
                <w:szCs w:val="24"/>
              </w:rPr>
              <w:t>Департаменту земельних ресурсів</w:t>
            </w:r>
          </w:p>
        </w:tc>
        <w:tc>
          <w:tcPr>
            <w:tcW w:w="4946" w:type="dxa"/>
          </w:tcPr>
          <w:p w14:paraId="7BB77B01" w14:textId="77777777" w:rsidR="0086252E" w:rsidRPr="00F8533D" w:rsidRDefault="0086252E">
            <w:pPr>
              <w:pStyle w:val="30"/>
              <w:shd w:val="clear" w:color="auto" w:fill="auto"/>
              <w:jc w:val="right"/>
              <w:rPr>
                <w:rStyle w:val="ae"/>
                <w:b/>
                <w:sz w:val="24"/>
                <w:szCs w:val="24"/>
              </w:rPr>
            </w:pPr>
          </w:p>
          <w:p w14:paraId="5071BAB1" w14:textId="77777777" w:rsidR="00E7338E" w:rsidRPr="00F8533D" w:rsidRDefault="00E7338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</w:p>
          <w:p w14:paraId="48F6DD48" w14:textId="478EE847" w:rsidR="0086252E" w:rsidRPr="00F8533D" w:rsidRDefault="0086252E">
            <w:pPr>
              <w:pStyle w:val="30"/>
              <w:shd w:val="clear" w:color="auto" w:fill="auto"/>
              <w:jc w:val="right"/>
              <w:rPr>
                <w:rStyle w:val="ae"/>
                <w:sz w:val="24"/>
                <w:szCs w:val="24"/>
              </w:rPr>
            </w:pPr>
            <w:r w:rsidRPr="00F8533D">
              <w:rPr>
                <w:rStyle w:val="ae"/>
                <w:sz w:val="24"/>
                <w:szCs w:val="24"/>
              </w:rPr>
              <w:t>Валентина ПЕЛИХ</w:t>
            </w:r>
          </w:p>
        </w:tc>
      </w:tr>
    </w:tbl>
    <w:p w14:paraId="27F6AA73" w14:textId="77777777" w:rsidR="00047DE7" w:rsidRPr="00F8533D" w:rsidRDefault="00047DE7" w:rsidP="00047DE7">
      <w:pPr>
        <w:pStyle w:val="1"/>
        <w:shd w:val="clear" w:color="auto" w:fill="auto"/>
        <w:ind w:firstLine="420"/>
      </w:pPr>
    </w:p>
    <w:p w14:paraId="40B89126" w14:textId="575DD6A9" w:rsidR="00823CCF" w:rsidRPr="00F8533D" w:rsidRDefault="00823CCF" w:rsidP="00047DE7">
      <w:pPr>
        <w:pStyle w:val="1"/>
        <w:shd w:val="clear" w:color="auto" w:fill="auto"/>
        <w:rPr>
          <w:i w:val="0"/>
          <w:sz w:val="24"/>
          <w:szCs w:val="24"/>
        </w:rPr>
      </w:pPr>
    </w:p>
    <w:p w14:paraId="4601054F" w14:textId="77777777" w:rsidR="006F560A" w:rsidRPr="00F8533D" w:rsidRDefault="006F560A" w:rsidP="00047DE7">
      <w:pPr>
        <w:pStyle w:val="1"/>
        <w:shd w:val="clear" w:color="auto" w:fill="auto"/>
        <w:rPr>
          <w:i w:val="0"/>
          <w:sz w:val="24"/>
          <w:szCs w:val="24"/>
        </w:rPr>
      </w:pPr>
    </w:p>
    <w:sectPr w:rsidR="006F560A" w:rsidRPr="00F8533D" w:rsidSect="00283771">
      <w:headerReference w:type="default" r:id="rId11"/>
      <w:footerReference w:type="default" r:id="rId12"/>
      <w:pgSz w:w="11907" w:h="16839" w:code="9"/>
      <w:pgMar w:top="142" w:right="567" w:bottom="426" w:left="1701" w:header="279" w:footer="3" w:gutter="0"/>
      <w:pgNumType w:start="1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1DA8D0" w14:textId="77777777" w:rsidR="002E49D6" w:rsidRDefault="002E49D6">
      <w:r>
        <w:separator/>
      </w:r>
    </w:p>
  </w:endnote>
  <w:endnote w:type="continuationSeparator" w:id="0">
    <w:p w14:paraId="250C7DE6" w14:textId="77777777" w:rsidR="002E49D6" w:rsidRDefault="002E49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altName w:val="Device Font 10cpi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altName w:val="Calibri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altName w:val="Arial"/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3359D00" w14:textId="77777777" w:rsidR="009674CE" w:rsidRDefault="009674CE">
    <w:pPr>
      <w:spacing w:line="1" w:lineRule="exact"/>
    </w:pPr>
    <w:r>
      <w:rPr>
        <w:noProof/>
        <w:lang w:val="ru-RU" w:eastAsia="ru-RU" w:bidi="ar-SA"/>
      </w:rPr>
      <mc:AlternateContent>
        <mc:Choice Requires="wps">
          <w:drawing>
            <wp:anchor distT="0" distB="0" distL="0" distR="0" simplePos="0" relativeHeight="62914690" behindDoc="1" locked="0" layoutInCell="1" allowOverlap="1" wp14:anchorId="0C81C80E" wp14:editId="37014C95">
              <wp:simplePos x="0" y="0"/>
              <wp:positionH relativeFrom="margin">
                <wp:posOffset>4886960</wp:posOffset>
              </wp:positionH>
              <wp:positionV relativeFrom="bottomMargin">
                <wp:posOffset>1314450</wp:posOffset>
              </wp:positionV>
              <wp:extent cx="1452942" cy="72927"/>
              <wp:effectExtent l="0" t="0" r="0" b="0"/>
              <wp:wrapNone/>
              <wp:docPr id="9" name="Shape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52942" cy="72927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5F1C742" w14:textId="77777777" w:rsidR="009674CE" w:rsidRPr="002D306E" w:rsidRDefault="009674CE">
                          <w:pPr>
                            <w:pStyle w:val="20"/>
                            <w:shd w:val="clear" w:color="auto" w:fill="auto"/>
                            <w:tabs>
                              <w:tab w:val="right" w:pos="3175"/>
                              <w:tab w:val="right" w:pos="6991"/>
                            </w:tabs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>Виготовлено за даними міського земельного кадастру</w:t>
                          </w:r>
                          <w:r>
                            <w:rPr>
                              <w:rFonts w:ascii="Arial" w:eastAsia="Arial" w:hAnsi="Arial" w:cs="Arial"/>
                              <w:b/>
                              <w:bCs/>
                              <w:sz w:val="8"/>
                              <w:szCs w:val="8"/>
                            </w:rPr>
                            <w:tab/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="http://schemas.openxmlformats.org/drawingml/2006/main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shapetype id="_x0000_t202" coordsize="21600,21600" o:spt="202" path="m,l,21600r21600,l21600,xe" w14:anchorId="0C81C80E">
              <v:stroke joinstyle="miter"/>
              <v:path gradientshapeok="t" o:connecttype="rect"/>
            </v:shapetype>
            <v:shape id="Shape 9" style="position:absolute;margin-left:384.8pt;margin-top:103.5pt;width:114.4pt;height:5.75pt;z-index:-440401790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bottom-margin-area;mso-width-percent:0;mso-height-percent:0;mso-width-relative:margin;mso-height-relative:margin;v-text-anchor:top" o:spid="_x0000_s1027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">
              <v:textbox inset="0,0,0,0">
                <w:txbxContent>
                  <w:p w:rsidRPr="002D306E" w:rsidR="009674CE" w:rsidRDefault="009674CE" w14:paraId="25F1C742" w14:textId="77777777">
                    <w:pPr>
                      <w:pStyle w:val="20"/>
                      <w:shd w:val="clear" w:color="auto" w:fill="auto"/>
                      <w:tabs>
                        <w:tab w:val="right" w:pos="3175"/>
                        <w:tab w:val="right" w:pos="6991"/>
                      </w:tabs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</w:pP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>Виготовлено за даними міського земельного кадастру</w:t>
                    </w:r>
                    <w:r>
                      <w:rPr>
                        <w:rFonts w:ascii="Arial" w:hAnsi="Arial" w:eastAsia="Arial" w:cs="Arial"/>
                        <w:b/>
                        <w:bCs/>
                        <w:sz w:val="8"/>
                        <w:szCs w:val="8"/>
                      </w:rPr>
                      <w:tab/>
                      <w:t xml:space="preserve">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08FFB30" w14:textId="77777777" w:rsidR="002E49D6" w:rsidRDefault="002E49D6"/>
  </w:footnote>
  <w:footnote w:type="continuationSeparator" w:id="0">
    <w:p w14:paraId="3D76664D" w14:textId="77777777" w:rsidR="002E49D6" w:rsidRDefault="002E49D6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Courier New" w:eastAsia="Courier New" w:hAnsi="Courier New" w:cs="Courier New"/>
        <w:i w:val="0"/>
        <w:iCs w:val="0"/>
        <w:color w:val="000000"/>
        <w:sz w:val="24"/>
        <w:szCs w:val="24"/>
      </w:rPr>
      <w:id w:val="-40819359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14:paraId="7CC42619" w14:textId="19AD6995" w:rsidR="009674CE" w:rsidRPr="004B05D1" w:rsidRDefault="00EF4B08" w:rsidP="00EF4B08">
        <w:pPr>
          <w:pStyle w:val="22"/>
          <w:shd w:val="clear" w:color="auto" w:fill="auto"/>
          <w:spacing w:after="0"/>
          <w:ind w:left="2680"/>
          <w:jc w:val="center"/>
          <w:rPr>
            <w:i w:val="0"/>
            <w:sz w:val="12"/>
            <w:szCs w:val="12"/>
            <w:lang w:val="ru-RU"/>
          </w:rPr>
        </w:pPr>
        <w:r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  </w:t>
        </w:r>
        <w:r w:rsidR="008E59A5">
          <w:rPr>
            <w:rFonts w:ascii="Courier New" w:eastAsia="Courier New" w:hAnsi="Courier New" w:cs="Courier New"/>
            <w:i w:val="0"/>
            <w:iCs w:val="0"/>
            <w:color w:val="000000"/>
            <w:sz w:val="24"/>
            <w:szCs w:val="24"/>
          </w:rPr>
          <w:t xml:space="preserve">      </w:t>
        </w:r>
        <w:r w:rsidR="009674CE" w:rsidRPr="00800A09">
          <w:rPr>
            <w:i w:val="0"/>
            <w:sz w:val="12"/>
            <w:szCs w:val="12"/>
          </w:rPr>
          <w:t xml:space="preserve">Пояснювальна записка № </w:t>
        </w:r>
        <w:r w:rsidR="009674CE">
          <w:rPr>
            <w:i w:val="0"/>
            <w:sz w:val="12"/>
            <w:szCs w:val="12"/>
          </w:rPr>
          <w:t>ПЗ</w:t>
        </w:r>
        <w:r w:rsidR="00EF09DB">
          <w:rPr>
            <w:i w:val="0"/>
            <w:sz w:val="12"/>
            <w:szCs w:val="12"/>
          </w:rPr>
          <w:t>Н</w:t>
        </w:r>
        <w:r w:rsidR="009674CE" w:rsidRPr="00FE7916">
          <w:rPr>
            <w:i w:val="0"/>
            <w:sz w:val="12"/>
            <w:szCs w:val="12"/>
            <w:lang w:val="ru-RU"/>
          </w:rPr>
          <w:t>-64865</w:t>
        </w:r>
        <w:r w:rsidR="009674CE" w:rsidRPr="00800A09">
          <w:rPr>
            <w:i w:val="0"/>
            <w:sz w:val="12"/>
            <w:szCs w:val="12"/>
            <w:lang w:val="ru-RU"/>
          </w:rPr>
          <w:t xml:space="preserve"> </w:t>
        </w:r>
        <w:r w:rsidR="009674CE" w:rsidRPr="00800A09">
          <w:rPr>
            <w:i w:val="0"/>
            <w:sz w:val="12"/>
            <w:szCs w:val="12"/>
          </w:rPr>
          <w:t xml:space="preserve">від </w:t>
        </w:r>
        <w:r w:rsidR="009674CE" w:rsidRPr="00FE7916">
          <w:rPr>
            <w:i w:val="0"/>
            <w:sz w:val="12"/>
            <w:szCs w:val="12"/>
            <w:lang w:val="ru-RU"/>
          </w:rPr>
          <w:t>17.04.2024</w:t>
        </w:r>
        <w:r w:rsidR="009674CE" w:rsidRPr="00800A09">
          <w:rPr>
            <w:i w:val="0"/>
            <w:sz w:val="12"/>
            <w:szCs w:val="12"/>
          </w:rPr>
          <w:t xml:space="preserve"> до </w:t>
        </w:r>
        <w:r w:rsidR="000A33B9">
          <w:rPr>
            <w:i w:val="0"/>
            <w:sz w:val="12"/>
            <w:szCs w:val="12"/>
          </w:rPr>
          <w:t>справи</w:t>
        </w:r>
        <w:r w:rsidR="009674CE" w:rsidRPr="00800A09">
          <w:rPr>
            <w:i w:val="0"/>
            <w:sz w:val="12"/>
            <w:szCs w:val="12"/>
          </w:rPr>
          <w:t xml:space="preserve"> </w:t>
        </w:r>
        <w:r w:rsidR="009674CE" w:rsidRPr="00FE7916">
          <w:rPr>
            <w:i w:val="0"/>
            <w:sz w:val="12"/>
            <w:szCs w:val="12"/>
            <w:lang w:val="ru-RU"/>
          </w:rPr>
          <w:t>531005898</w:t>
        </w:r>
      </w:p>
      <w:p w14:paraId="0BF67CBB" w14:textId="669A104C" w:rsidR="009674CE" w:rsidRPr="00800A09" w:rsidRDefault="009674CE" w:rsidP="0070323B">
        <w:pPr>
          <w:pStyle w:val="a9"/>
          <w:jc w:val="right"/>
          <w:rPr>
            <w:rFonts w:ascii="Times New Roman" w:hAnsi="Times New Roman" w:cs="Times New Roman"/>
          </w:rPr>
        </w:pPr>
        <w:r w:rsidRPr="00800A09">
          <w:rPr>
            <w:rFonts w:ascii="Times New Roman" w:hAnsi="Times New Roman" w:cs="Times New Roman"/>
            <w:sz w:val="12"/>
            <w:szCs w:val="12"/>
          </w:rPr>
          <w:t>Сторінка</w:t>
        </w:r>
        <w:r w:rsidRPr="00800A09">
          <w:rPr>
            <w:rFonts w:ascii="Times New Roman" w:hAnsi="Times New Roman" w:cs="Times New Roman"/>
            <w:sz w:val="12"/>
            <w:szCs w:val="12"/>
            <w:lang w:val="ru-RU"/>
          </w:rPr>
          <w:t xml:space="preserve"> 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800A09">
          <w:rPr>
            <w:rFonts w:ascii="Times New Roman" w:hAnsi="Times New Roman" w:cs="Times New Roman"/>
            <w:sz w:val="12"/>
            <w:szCs w:val="12"/>
          </w:rPr>
          <w:instrText>PAGE   \* MERGEFORMAT</w:instrTex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8165C0" w:rsidRPr="008165C0">
          <w:rPr>
            <w:rFonts w:ascii="Times New Roman" w:hAnsi="Times New Roman" w:cs="Times New Roman"/>
            <w:noProof/>
            <w:sz w:val="12"/>
            <w:szCs w:val="12"/>
            <w:lang w:val="ru-RU"/>
          </w:rPr>
          <w:t>3</w:t>
        </w:r>
        <w:r w:rsidRPr="00800A09">
          <w:rPr>
            <w:rFonts w:ascii="Times New Roman" w:hAnsi="Times New Roman" w:cs="Times New Roman"/>
            <w:sz w:val="12"/>
            <w:szCs w:val="12"/>
          </w:rPr>
          <w:fldChar w:fldCharType="end"/>
        </w:r>
      </w:p>
    </w:sdtContent>
  </w:sdt>
  <w:p w14:paraId="0A1BB7ED" w14:textId="77777777" w:rsidR="009674CE" w:rsidRDefault="009674CE" w:rsidP="0070323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25F41"/>
    <w:multiLevelType w:val="hybridMultilevel"/>
    <w:tmpl w:val="9674534A"/>
    <w:lvl w:ilvl="0" w:tplc="0CA8056E">
      <w:start w:val="1"/>
      <w:numFmt w:val="decimal"/>
      <w:lvlText w:val="%1."/>
      <w:lvlJc w:val="left"/>
      <w:pPr>
        <w:ind w:left="70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24" w:hanging="360"/>
      </w:pPr>
    </w:lvl>
    <w:lvl w:ilvl="2" w:tplc="0422001B" w:tentative="1">
      <w:start w:val="1"/>
      <w:numFmt w:val="lowerRoman"/>
      <w:lvlText w:val="%3."/>
      <w:lvlJc w:val="right"/>
      <w:pPr>
        <w:ind w:left="2144" w:hanging="180"/>
      </w:pPr>
    </w:lvl>
    <w:lvl w:ilvl="3" w:tplc="0422000F" w:tentative="1">
      <w:start w:val="1"/>
      <w:numFmt w:val="decimal"/>
      <w:lvlText w:val="%4."/>
      <w:lvlJc w:val="left"/>
      <w:pPr>
        <w:ind w:left="2864" w:hanging="360"/>
      </w:pPr>
    </w:lvl>
    <w:lvl w:ilvl="4" w:tplc="04220019" w:tentative="1">
      <w:start w:val="1"/>
      <w:numFmt w:val="lowerLetter"/>
      <w:lvlText w:val="%5."/>
      <w:lvlJc w:val="left"/>
      <w:pPr>
        <w:ind w:left="3584" w:hanging="360"/>
      </w:pPr>
    </w:lvl>
    <w:lvl w:ilvl="5" w:tplc="0422001B" w:tentative="1">
      <w:start w:val="1"/>
      <w:numFmt w:val="lowerRoman"/>
      <w:lvlText w:val="%6."/>
      <w:lvlJc w:val="right"/>
      <w:pPr>
        <w:ind w:left="4304" w:hanging="180"/>
      </w:pPr>
    </w:lvl>
    <w:lvl w:ilvl="6" w:tplc="0422000F" w:tentative="1">
      <w:start w:val="1"/>
      <w:numFmt w:val="decimal"/>
      <w:lvlText w:val="%7."/>
      <w:lvlJc w:val="left"/>
      <w:pPr>
        <w:ind w:left="5024" w:hanging="360"/>
      </w:pPr>
    </w:lvl>
    <w:lvl w:ilvl="7" w:tplc="04220019" w:tentative="1">
      <w:start w:val="1"/>
      <w:numFmt w:val="lowerLetter"/>
      <w:lvlText w:val="%8."/>
      <w:lvlJc w:val="left"/>
      <w:pPr>
        <w:ind w:left="5744" w:hanging="360"/>
      </w:pPr>
    </w:lvl>
    <w:lvl w:ilvl="8" w:tplc="0422001B" w:tentative="1">
      <w:start w:val="1"/>
      <w:numFmt w:val="lowerRoman"/>
      <w:lvlText w:val="%9."/>
      <w:lvlJc w:val="right"/>
      <w:pPr>
        <w:ind w:left="646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3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A338E"/>
    <w:rsid w:val="00005A7B"/>
    <w:rsid w:val="00034D1E"/>
    <w:rsid w:val="00037B84"/>
    <w:rsid w:val="00043616"/>
    <w:rsid w:val="00045F3B"/>
    <w:rsid w:val="00047DE7"/>
    <w:rsid w:val="000502C7"/>
    <w:rsid w:val="00056A2A"/>
    <w:rsid w:val="00061CD4"/>
    <w:rsid w:val="0007432D"/>
    <w:rsid w:val="00082FF3"/>
    <w:rsid w:val="0009576B"/>
    <w:rsid w:val="000A33B9"/>
    <w:rsid w:val="000A3CAE"/>
    <w:rsid w:val="000A68A3"/>
    <w:rsid w:val="000B0281"/>
    <w:rsid w:val="000B0B65"/>
    <w:rsid w:val="000B1E6A"/>
    <w:rsid w:val="000B45AA"/>
    <w:rsid w:val="000C7B1F"/>
    <w:rsid w:val="000E3D00"/>
    <w:rsid w:val="00101DAD"/>
    <w:rsid w:val="001121A7"/>
    <w:rsid w:val="00117719"/>
    <w:rsid w:val="001239A5"/>
    <w:rsid w:val="00123E08"/>
    <w:rsid w:val="00150E38"/>
    <w:rsid w:val="001520B5"/>
    <w:rsid w:val="00170CE7"/>
    <w:rsid w:val="0018193A"/>
    <w:rsid w:val="00184E7D"/>
    <w:rsid w:val="00187D5B"/>
    <w:rsid w:val="00196558"/>
    <w:rsid w:val="001A4B62"/>
    <w:rsid w:val="001A66D1"/>
    <w:rsid w:val="001B1510"/>
    <w:rsid w:val="001C02A9"/>
    <w:rsid w:val="001C3099"/>
    <w:rsid w:val="001D01E5"/>
    <w:rsid w:val="001D49C8"/>
    <w:rsid w:val="001D7910"/>
    <w:rsid w:val="001E09C8"/>
    <w:rsid w:val="00200DA6"/>
    <w:rsid w:val="00207509"/>
    <w:rsid w:val="00212FAB"/>
    <w:rsid w:val="002140BB"/>
    <w:rsid w:val="00225909"/>
    <w:rsid w:val="00235AF8"/>
    <w:rsid w:val="0025220F"/>
    <w:rsid w:val="0027157C"/>
    <w:rsid w:val="002761B1"/>
    <w:rsid w:val="00283771"/>
    <w:rsid w:val="0029210B"/>
    <w:rsid w:val="002A27C6"/>
    <w:rsid w:val="002A72B9"/>
    <w:rsid w:val="002B1314"/>
    <w:rsid w:val="002B4902"/>
    <w:rsid w:val="002B5778"/>
    <w:rsid w:val="002C66F6"/>
    <w:rsid w:val="002D306E"/>
    <w:rsid w:val="002D6E0D"/>
    <w:rsid w:val="002E49D6"/>
    <w:rsid w:val="002F2D3F"/>
    <w:rsid w:val="00303CF1"/>
    <w:rsid w:val="00316BBB"/>
    <w:rsid w:val="00333098"/>
    <w:rsid w:val="0033417F"/>
    <w:rsid w:val="00343979"/>
    <w:rsid w:val="003525A6"/>
    <w:rsid w:val="0035749D"/>
    <w:rsid w:val="003842F5"/>
    <w:rsid w:val="00385014"/>
    <w:rsid w:val="003C2921"/>
    <w:rsid w:val="003D2E2D"/>
    <w:rsid w:val="003E0CE3"/>
    <w:rsid w:val="003E1B2C"/>
    <w:rsid w:val="003E769A"/>
    <w:rsid w:val="003F1994"/>
    <w:rsid w:val="003F1E3E"/>
    <w:rsid w:val="003F4C80"/>
    <w:rsid w:val="0040429C"/>
    <w:rsid w:val="00430CA4"/>
    <w:rsid w:val="004360F8"/>
    <w:rsid w:val="00452111"/>
    <w:rsid w:val="0045563D"/>
    <w:rsid w:val="00474616"/>
    <w:rsid w:val="0049406D"/>
    <w:rsid w:val="00495DE6"/>
    <w:rsid w:val="004A4541"/>
    <w:rsid w:val="004B05D1"/>
    <w:rsid w:val="004C4F16"/>
    <w:rsid w:val="004D4B3C"/>
    <w:rsid w:val="004D51B7"/>
    <w:rsid w:val="00501B43"/>
    <w:rsid w:val="00512B86"/>
    <w:rsid w:val="005156AF"/>
    <w:rsid w:val="005279FB"/>
    <w:rsid w:val="00531BB2"/>
    <w:rsid w:val="00532056"/>
    <w:rsid w:val="00533D8E"/>
    <w:rsid w:val="00540515"/>
    <w:rsid w:val="00543C2B"/>
    <w:rsid w:val="00553E8C"/>
    <w:rsid w:val="0056117E"/>
    <w:rsid w:val="005621F8"/>
    <w:rsid w:val="00564A02"/>
    <w:rsid w:val="00567858"/>
    <w:rsid w:val="00567978"/>
    <w:rsid w:val="00567BA2"/>
    <w:rsid w:val="005769B6"/>
    <w:rsid w:val="00591722"/>
    <w:rsid w:val="005A70F6"/>
    <w:rsid w:val="005B2FD0"/>
    <w:rsid w:val="005D67B3"/>
    <w:rsid w:val="005E272A"/>
    <w:rsid w:val="005E7630"/>
    <w:rsid w:val="00603291"/>
    <w:rsid w:val="00606B93"/>
    <w:rsid w:val="00617D3B"/>
    <w:rsid w:val="006200AE"/>
    <w:rsid w:val="00632091"/>
    <w:rsid w:val="00640E94"/>
    <w:rsid w:val="006418FE"/>
    <w:rsid w:val="00641A5F"/>
    <w:rsid w:val="006638C7"/>
    <w:rsid w:val="00664BE9"/>
    <w:rsid w:val="00664F25"/>
    <w:rsid w:val="006764C8"/>
    <w:rsid w:val="00694D51"/>
    <w:rsid w:val="006A084E"/>
    <w:rsid w:val="006A19DF"/>
    <w:rsid w:val="006A7D7F"/>
    <w:rsid w:val="006C2523"/>
    <w:rsid w:val="006D0088"/>
    <w:rsid w:val="006D791C"/>
    <w:rsid w:val="006D7E33"/>
    <w:rsid w:val="006E16C7"/>
    <w:rsid w:val="006E7465"/>
    <w:rsid w:val="006F560A"/>
    <w:rsid w:val="0070323B"/>
    <w:rsid w:val="00714CB9"/>
    <w:rsid w:val="00721AD9"/>
    <w:rsid w:val="007223E9"/>
    <w:rsid w:val="007231FE"/>
    <w:rsid w:val="00732FE2"/>
    <w:rsid w:val="00751508"/>
    <w:rsid w:val="0076092B"/>
    <w:rsid w:val="00765401"/>
    <w:rsid w:val="007709F8"/>
    <w:rsid w:val="00772C24"/>
    <w:rsid w:val="00776E89"/>
    <w:rsid w:val="007812BA"/>
    <w:rsid w:val="00782295"/>
    <w:rsid w:val="007A5002"/>
    <w:rsid w:val="007B72F8"/>
    <w:rsid w:val="00800A09"/>
    <w:rsid w:val="008014F8"/>
    <w:rsid w:val="00814E16"/>
    <w:rsid w:val="00815498"/>
    <w:rsid w:val="008165C0"/>
    <w:rsid w:val="008225D8"/>
    <w:rsid w:val="00823CCF"/>
    <w:rsid w:val="0082661F"/>
    <w:rsid w:val="00826892"/>
    <w:rsid w:val="00827100"/>
    <w:rsid w:val="00836EF7"/>
    <w:rsid w:val="008506AF"/>
    <w:rsid w:val="0086252E"/>
    <w:rsid w:val="008670BE"/>
    <w:rsid w:val="00873FAA"/>
    <w:rsid w:val="00880A60"/>
    <w:rsid w:val="00881212"/>
    <w:rsid w:val="008A2C8C"/>
    <w:rsid w:val="008A338E"/>
    <w:rsid w:val="008B338E"/>
    <w:rsid w:val="008E59A5"/>
    <w:rsid w:val="008F0B34"/>
    <w:rsid w:val="00905988"/>
    <w:rsid w:val="00907FF6"/>
    <w:rsid w:val="0091277B"/>
    <w:rsid w:val="009131FA"/>
    <w:rsid w:val="00915DCB"/>
    <w:rsid w:val="00934E19"/>
    <w:rsid w:val="009358DE"/>
    <w:rsid w:val="009562D8"/>
    <w:rsid w:val="009674CE"/>
    <w:rsid w:val="00982A07"/>
    <w:rsid w:val="009C1880"/>
    <w:rsid w:val="009D6B57"/>
    <w:rsid w:val="009E6239"/>
    <w:rsid w:val="009F0D03"/>
    <w:rsid w:val="009F1DC6"/>
    <w:rsid w:val="009F4C72"/>
    <w:rsid w:val="00A12E00"/>
    <w:rsid w:val="00A215BE"/>
    <w:rsid w:val="00A26962"/>
    <w:rsid w:val="00A33A51"/>
    <w:rsid w:val="00A426A3"/>
    <w:rsid w:val="00A71A8F"/>
    <w:rsid w:val="00A87093"/>
    <w:rsid w:val="00A913F4"/>
    <w:rsid w:val="00AA1D40"/>
    <w:rsid w:val="00AA7E2D"/>
    <w:rsid w:val="00AD4369"/>
    <w:rsid w:val="00AD6678"/>
    <w:rsid w:val="00B064DC"/>
    <w:rsid w:val="00B15D9C"/>
    <w:rsid w:val="00B174F4"/>
    <w:rsid w:val="00B17F43"/>
    <w:rsid w:val="00B2685F"/>
    <w:rsid w:val="00B312AA"/>
    <w:rsid w:val="00B34649"/>
    <w:rsid w:val="00B3780D"/>
    <w:rsid w:val="00B40140"/>
    <w:rsid w:val="00B455FE"/>
    <w:rsid w:val="00B51FA5"/>
    <w:rsid w:val="00B5712F"/>
    <w:rsid w:val="00B667EA"/>
    <w:rsid w:val="00B734EF"/>
    <w:rsid w:val="00B736BD"/>
    <w:rsid w:val="00B75EAF"/>
    <w:rsid w:val="00B82614"/>
    <w:rsid w:val="00B87AD3"/>
    <w:rsid w:val="00BA5124"/>
    <w:rsid w:val="00BE7DD9"/>
    <w:rsid w:val="00BF1120"/>
    <w:rsid w:val="00C241ED"/>
    <w:rsid w:val="00C414E0"/>
    <w:rsid w:val="00C50743"/>
    <w:rsid w:val="00C55118"/>
    <w:rsid w:val="00C720F1"/>
    <w:rsid w:val="00C77018"/>
    <w:rsid w:val="00C80013"/>
    <w:rsid w:val="00C87AA9"/>
    <w:rsid w:val="00C91423"/>
    <w:rsid w:val="00C91E5C"/>
    <w:rsid w:val="00C93024"/>
    <w:rsid w:val="00CA77A2"/>
    <w:rsid w:val="00CB605B"/>
    <w:rsid w:val="00CC4E46"/>
    <w:rsid w:val="00CE609D"/>
    <w:rsid w:val="00CE72E0"/>
    <w:rsid w:val="00CF2164"/>
    <w:rsid w:val="00D0150C"/>
    <w:rsid w:val="00D04919"/>
    <w:rsid w:val="00D07F02"/>
    <w:rsid w:val="00D2458C"/>
    <w:rsid w:val="00D40637"/>
    <w:rsid w:val="00D50023"/>
    <w:rsid w:val="00D63B8D"/>
    <w:rsid w:val="00D70DFE"/>
    <w:rsid w:val="00D732F1"/>
    <w:rsid w:val="00D9671B"/>
    <w:rsid w:val="00DA2B06"/>
    <w:rsid w:val="00DC70F6"/>
    <w:rsid w:val="00DD34E7"/>
    <w:rsid w:val="00DE0E7B"/>
    <w:rsid w:val="00E05220"/>
    <w:rsid w:val="00E27308"/>
    <w:rsid w:val="00E40910"/>
    <w:rsid w:val="00E5752E"/>
    <w:rsid w:val="00E7338E"/>
    <w:rsid w:val="00E77A9B"/>
    <w:rsid w:val="00E8544C"/>
    <w:rsid w:val="00E94376"/>
    <w:rsid w:val="00EA1AC5"/>
    <w:rsid w:val="00EA42C9"/>
    <w:rsid w:val="00EB297C"/>
    <w:rsid w:val="00EC0B76"/>
    <w:rsid w:val="00EE137E"/>
    <w:rsid w:val="00EF075A"/>
    <w:rsid w:val="00EF09DB"/>
    <w:rsid w:val="00EF4B08"/>
    <w:rsid w:val="00F075B3"/>
    <w:rsid w:val="00F13AC3"/>
    <w:rsid w:val="00F201D9"/>
    <w:rsid w:val="00F23BF1"/>
    <w:rsid w:val="00F23C73"/>
    <w:rsid w:val="00F258FD"/>
    <w:rsid w:val="00F4426A"/>
    <w:rsid w:val="00F617F5"/>
    <w:rsid w:val="00F620DD"/>
    <w:rsid w:val="00F62C48"/>
    <w:rsid w:val="00F6372D"/>
    <w:rsid w:val="00F8533D"/>
    <w:rsid w:val="00F923B4"/>
    <w:rsid w:val="00FB06DC"/>
    <w:rsid w:val="00FB154C"/>
    <w:rsid w:val="00FB4E7A"/>
    <w:rsid w:val="00FB53AB"/>
    <w:rsid w:val="00FB6120"/>
    <w:rsid w:val="00FB754A"/>
    <w:rsid w:val="00FC32B6"/>
    <w:rsid w:val="00FC7A92"/>
    <w:rsid w:val="00FD49CC"/>
    <w:rsid w:val="00FE7916"/>
    <w:rsid w:val="00FF0A55"/>
    <w:rsid w:val="00FF54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3075A741"/>
  <w15:docId w15:val="{8EA58088-0813-4799-B055-7FECDC449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2">
    <w:name w:val="Колонтитул (2)_"/>
    <w:basedOn w:val="a0"/>
    <w:link w:val="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a5">
    <w:name w:val="Основной текст_"/>
    <w:basedOn w:val="a0"/>
    <w:link w:val="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a6">
    <w:name w:val="Подпись к таблице_"/>
    <w:basedOn w:val="a0"/>
    <w:link w:val="a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a4">
    <w:name w:val="Другое"/>
    <w:basedOn w:val="a"/>
    <w:link w:val="a3"/>
    <w:pPr>
      <w:shd w:val="clear" w:color="auto" w:fill="FFFFFF"/>
    </w:pPr>
    <w:rPr>
      <w:rFonts w:ascii="Times New Roman" w:eastAsia="Times New Roman" w:hAnsi="Times New Roman" w:cs="Times New Roman"/>
      <w:sz w:val="16"/>
      <w:szCs w:val="16"/>
    </w:rPr>
  </w:style>
  <w:style w:type="paragraph" w:customStyle="1" w:styleId="20">
    <w:name w:val="Колонтитул (2)"/>
    <w:basedOn w:val="a"/>
    <w:link w:val="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1">
    <w:name w:val="Основной текст1"/>
    <w:basedOn w:val="a"/>
    <w:link w:val="a5"/>
    <w:pPr>
      <w:shd w:val="clear" w:color="auto" w:fill="FFFFFF"/>
    </w:pPr>
    <w:rPr>
      <w:rFonts w:ascii="Times New Roman" w:eastAsia="Times New Roman" w:hAnsi="Times New Roman" w:cs="Times New Roman"/>
      <w:i/>
      <w:iCs/>
      <w:sz w:val="19"/>
      <w:szCs w:val="19"/>
    </w:rPr>
  </w:style>
  <w:style w:type="paragraph" w:customStyle="1" w:styleId="a7">
    <w:name w:val="Подпись к таблице"/>
    <w:basedOn w:val="a"/>
    <w:link w:val="a6"/>
    <w:pPr>
      <w:shd w:val="clear" w:color="auto" w:fill="FFFFFF"/>
    </w:pPr>
    <w:rPr>
      <w:rFonts w:ascii="Times New Roman" w:eastAsia="Times New Roman" w:hAnsi="Times New Roman" w:cs="Times New Roman"/>
      <w:b/>
      <w:bCs/>
      <w:sz w:val="18"/>
      <w:szCs w:val="18"/>
    </w:rPr>
  </w:style>
  <w:style w:type="table" w:styleId="a8">
    <w:name w:val="Table Grid"/>
    <w:basedOn w:val="a1"/>
    <w:uiPriority w:val="39"/>
    <w:rsid w:val="00E943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rsid w:val="002D306E"/>
    <w:rPr>
      <w:color w:val="000000"/>
    </w:rPr>
  </w:style>
  <w:style w:type="paragraph" w:styleId="ab">
    <w:name w:val="footer"/>
    <w:basedOn w:val="a"/>
    <w:link w:val="ac"/>
    <w:uiPriority w:val="99"/>
    <w:unhideWhenUsed/>
    <w:rsid w:val="002D306E"/>
    <w:pPr>
      <w:tabs>
        <w:tab w:val="center" w:pos="4819"/>
        <w:tab w:val="right" w:pos="9639"/>
      </w:tabs>
    </w:pPr>
  </w:style>
  <w:style w:type="character" w:customStyle="1" w:styleId="ac">
    <w:name w:val="Нижній колонтитул Знак"/>
    <w:basedOn w:val="a0"/>
    <w:link w:val="ab"/>
    <w:uiPriority w:val="99"/>
    <w:rsid w:val="002D306E"/>
    <w:rPr>
      <w:color w:val="000000"/>
    </w:rPr>
  </w:style>
  <w:style w:type="character" w:customStyle="1" w:styleId="21">
    <w:name w:val="Основной текст (2)_"/>
    <w:basedOn w:val="a0"/>
    <w:link w:val="22"/>
    <w:rsid w:val="00823CCF"/>
    <w:rPr>
      <w:rFonts w:ascii="Times New Roman" w:eastAsia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823CCF"/>
    <w:pPr>
      <w:shd w:val="clear" w:color="auto" w:fill="FFFFFF"/>
      <w:spacing w:after="160"/>
      <w:ind w:firstLine="140"/>
      <w:jc w:val="right"/>
    </w:pPr>
    <w:rPr>
      <w:rFonts w:ascii="Times New Roman" w:eastAsia="Times New Roman" w:hAnsi="Times New Roman" w:cs="Times New Roman"/>
      <w:i/>
      <w:iCs/>
      <w:color w:val="auto"/>
      <w:sz w:val="14"/>
      <w:szCs w:val="14"/>
    </w:rPr>
  </w:style>
  <w:style w:type="character" w:styleId="ad">
    <w:name w:val="Emphasis"/>
    <w:basedOn w:val="a0"/>
    <w:uiPriority w:val="20"/>
    <w:qFormat/>
    <w:rsid w:val="00495DE6"/>
    <w:rPr>
      <w:i/>
      <w:iCs/>
    </w:rPr>
  </w:style>
  <w:style w:type="character" w:styleId="ae">
    <w:name w:val="Strong"/>
    <w:basedOn w:val="a0"/>
    <w:uiPriority w:val="22"/>
    <w:qFormat/>
    <w:rsid w:val="00C241ED"/>
    <w:rPr>
      <w:b/>
      <w:bCs/>
    </w:rPr>
  </w:style>
  <w:style w:type="paragraph" w:styleId="af">
    <w:name w:val="Balloon Text"/>
    <w:basedOn w:val="a"/>
    <w:link w:val="af0"/>
    <w:uiPriority w:val="99"/>
    <w:semiHidden/>
    <w:unhideWhenUsed/>
    <w:rsid w:val="00836EF7"/>
    <w:rPr>
      <w:rFonts w:ascii="Segoe UI" w:hAnsi="Segoe UI" w:cs="Segoe UI"/>
      <w:sz w:val="18"/>
      <w:szCs w:val="18"/>
    </w:rPr>
  </w:style>
  <w:style w:type="character" w:customStyle="1" w:styleId="af0">
    <w:name w:val="Текст у виносці Знак"/>
    <w:basedOn w:val="a0"/>
    <w:link w:val="af"/>
    <w:uiPriority w:val="99"/>
    <w:semiHidden/>
    <w:rsid w:val="00836EF7"/>
    <w:rPr>
      <w:rFonts w:ascii="Segoe UI" w:hAnsi="Segoe UI" w:cs="Segoe UI"/>
      <w:color w:val="000000"/>
      <w:sz w:val="18"/>
      <w:szCs w:val="18"/>
    </w:rPr>
  </w:style>
  <w:style w:type="character" w:customStyle="1" w:styleId="3">
    <w:name w:val="Основной текст (3)_"/>
    <w:basedOn w:val="a0"/>
    <w:link w:val="30"/>
    <w:rsid w:val="00047DE7"/>
    <w:rPr>
      <w:rFonts w:ascii="Times New Roman" w:eastAsia="Times New Roman" w:hAnsi="Times New Roman" w:cs="Times New Roman"/>
      <w:b/>
      <w:bCs/>
      <w:sz w:val="34"/>
      <w:szCs w:val="34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047DE7"/>
    <w:pPr>
      <w:shd w:val="clear" w:color="auto" w:fill="FFFFFF"/>
      <w:ind w:firstLine="140"/>
    </w:pPr>
    <w:rPr>
      <w:rFonts w:ascii="Times New Roman" w:eastAsia="Times New Roman" w:hAnsi="Times New Roman" w:cs="Times New Roman"/>
      <w:b/>
      <w:bCs/>
      <w:color w:val="auto"/>
      <w:sz w:val="34"/>
      <w:szCs w:val="34"/>
    </w:rPr>
  </w:style>
  <w:style w:type="paragraph" w:styleId="af1">
    <w:name w:val="No Spacing"/>
    <w:uiPriority w:val="1"/>
    <w:qFormat/>
    <w:rsid w:val="00772C24"/>
    <w:rPr>
      <w:color w:val="000000"/>
    </w:rPr>
  </w:style>
  <w:style w:type="character" w:customStyle="1" w:styleId="xcontentpasted0">
    <w:name w:val="x_contentpasted0"/>
    <w:basedOn w:val="a0"/>
    <w:rsid w:val="001D49C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42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873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13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oleh.sonets\Downloads\!&#1086;&#1088;&#1077;&#1085;&#1076;&#1072;\request_qr_code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request_qr_code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0130769-A995-41D1-A3BB-5FABA9A674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81</TotalTime>
  <Pages>3</Pages>
  <Words>995</Words>
  <Characters>5677</Characters>
  <Application>Microsoft Office Word</Application>
  <DocSecurity>0</DocSecurity>
  <Lines>47</Lines>
  <Paragraphs>13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Пояснювальна записка рішенням</vt:lpstr>
      <vt:lpstr>Пояснювальна записка</vt:lpstr>
    </vt:vector>
  </TitlesOfParts>
  <Manager>Відділ з питань орендних відносин</Manager>
  <Company>ДЕПАРТАМЕНТ ЗЕМЕЛЬНИХ РЕСУРСІВ</Company>
  <LinksUpToDate>false</LinksUpToDate>
  <CharactersWithSpaces>6659</CharactersWithSpaces>
  <SharedDoc>false</SharedDoc>
  <HyperlinkBase>121</HyperlinkBase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Пояснювальна записка рішенням</dc:title>
  <dc:creator>Поп Лілія Володимирівна</dc:creator>
  <cp:keywords>{"doc_type_id":121,"doc_type_name":"Пояснювальна записка рішенням","doc_type_file":"Пояснювальна_записка_рішенням.docx"}</cp:keywords>
  <cp:lastModifiedBy>Босович Ольга Костянтинівна</cp:lastModifiedBy>
  <cp:revision>8</cp:revision>
  <cp:lastPrinted>2024-04-18T12:35:00Z</cp:lastPrinted>
  <dcterms:created xsi:type="dcterms:W3CDTF">2024-04-17T10:42:00Z</dcterms:created>
  <dcterms:modified xsi:type="dcterms:W3CDTF">2024-04-18T12:38:00Z</dcterms:modified>
</cp:coreProperties>
</file>