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537101888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537101888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0FA1E4B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EA5C1D">
        <w:rPr>
          <w:b/>
          <w:bCs/>
          <w:i w:val="0"/>
          <w:iCs w:val="0"/>
          <w:sz w:val="24"/>
          <w:szCs w:val="24"/>
          <w:lang w:val="ru-RU"/>
        </w:rPr>
        <w:t>ПЗН-55129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EA5C1D">
        <w:rPr>
          <w:b/>
          <w:bCs/>
          <w:i w:val="0"/>
          <w:sz w:val="24"/>
          <w:szCs w:val="24"/>
          <w:lang w:val="ru-RU"/>
        </w:rPr>
        <w:t>13.06.2023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5E6CED60" w:rsidR="00AC22F0" w:rsidRPr="00CF2418" w:rsidRDefault="007B72F8" w:rsidP="00EA5C1D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EA5C1D" w:rsidRPr="00EA5C1D">
        <w:rPr>
          <w:rFonts w:eastAsia="Georgia"/>
          <w:b/>
          <w:i/>
          <w:iCs/>
          <w:sz w:val="24"/>
          <w:szCs w:val="24"/>
        </w:rPr>
        <w:t xml:space="preserve">надання ТОВАРИСТВУ З ОБМЕЖЕНОЮ ВІДПОВІДАЛЬНІСТЮ «ТОП НІВО» дозволу на розроблення проєкту землеустрою щодо відведення земельної ділянки в оренду для будівництва та обслуговування будівель торгівлі на Севастопольській площі, 5 у Солом'янському районі </w:t>
      </w:r>
      <w:r w:rsidR="00EA5C1D">
        <w:rPr>
          <w:rFonts w:eastAsia="Georgia"/>
          <w:b/>
          <w:i/>
          <w:iCs/>
          <w:sz w:val="24"/>
          <w:szCs w:val="24"/>
        </w:rPr>
        <w:br/>
      </w:r>
      <w:r w:rsidR="00EA5C1D" w:rsidRPr="00EA5C1D">
        <w:rPr>
          <w:rFonts w:eastAsia="Georgia"/>
          <w:b/>
          <w:i/>
          <w:iCs/>
          <w:sz w:val="24"/>
          <w:szCs w:val="24"/>
        </w:rPr>
        <w:t>міста Києва</w:t>
      </w: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«ТОП НІВО»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771A594" w14:textId="77777777" w:rsidR="000A2D69" w:rsidRDefault="00EA5C1D" w:rsidP="000A2D6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A2D69">
              <w:rPr>
                <w:b w:val="0"/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0A2D69">
              <w:rPr>
                <w:b w:val="0"/>
                <w:i/>
                <w:sz w:val="24"/>
                <w:szCs w:val="24"/>
              </w:rPr>
              <w:t>«</w:t>
            </w:r>
            <w:r w:rsidRPr="000A2D69">
              <w:rPr>
                <w:b w:val="0"/>
                <w:i/>
                <w:sz w:val="24"/>
                <w:szCs w:val="24"/>
              </w:rPr>
              <w:t>НАФТОПРОДУКТ-ІНВЕСТ-САТЕЛІТ</w:t>
            </w:r>
            <w:r w:rsidR="000A2D69">
              <w:rPr>
                <w:b w:val="0"/>
                <w:i/>
                <w:sz w:val="24"/>
                <w:szCs w:val="24"/>
              </w:rPr>
              <w:t>»</w:t>
            </w:r>
          </w:p>
          <w:p w14:paraId="564B8A32" w14:textId="77777777" w:rsidR="000A2D69" w:rsidRDefault="000A2D69" w:rsidP="000A2D6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Україна, 43023, м. Луцьк, вул. Єршова, 2</w:t>
            </w:r>
          </w:p>
          <w:p w14:paraId="009838EF" w14:textId="77777777" w:rsidR="000A2D69" w:rsidRDefault="000A2D69" w:rsidP="000A2D6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275C0851" w14:textId="77777777" w:rsidR="000A2D69" w:rsidRDefault="00EA5C1D" w:rsidP="000A2D6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A2D69">
              <w:rPr>
                <w:b w:val="0"/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0A2D69">
              <w:rPr>
                <w:b w:val="0"/>
                <w:i/>
                <w:sz w:val="24"/>
                <w:szCs w:val="24"/>
              </w:rPr>
              <w:t>«</w:t>
            </w:r>
            <w:r w:rsidRPr="000A2D69">
              <w:rPr>
                <w:b w:val="0"/>
                <w:i/>
                <w:sz w:val="24"/>
                <w:szCs w:val="24"/>
              </w:rPr>
              <w:t>АССЕТС</w:t>
            </w:r>
            <w:r w:rsidR="000A2D69">
              <w:rPr>
                <w:b w:val="0"/>
                <w:i/>
                <w:sz w:val="24"/>
                <w:szCs w:val="24"/>
              </w:rPr>
              <w:t>»</w:t>
            </w:r>
          </w:p>
          <w:p w14:paraId="08C13519" w14:textId="46F81983" w:rsidR="00E94376" w:rsidRPr="000A2D69" w:rsidRDefault="000A2D69" w:rsidP="000A2D6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Україна, 01601, м. Київ, вул. Мечникова, 2, літера А</w:t>
            </w:r>
          </w:p>
        </w:tc>
      </w:tr>
      <w:tr w:rsidR="00E94376" w:rsidRPr="0057685E" w14:paraId="0397713C" w14:textId="77777777" w:rsidTr="000A2D69">
        <w:trPr>
          <w:cantSplit/>
          <w:trHeight w:val="493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8EE82B8" w14:textId="74E944C2" w:rsidR="0045666D" w:rsidRPr="0057685E" w:rsidRDefault="003B3924" w:rsidP="000A2D69">
            <w:pPr>
              <w:pStyle w:val="a7"/>
              <w:ind w:left="-135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</w:tc>
        <w:tc>
          <w:tcPr>
            <w:tcW w:w="6344" w:type="dxa"/>
          </w:tcPr>
          <w:p w14:paraId="7119BDE8" w14:textId="10A74707" w:rsidR="00E94376" w:rsidRPr="0057685E" w:rsidRDefault="000A2D69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Відомості відсутні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0A2D69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07.06.2023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0A2D69">
              <w:rPr>
                <w:b w:val="0"/>
                <w:i/>
                <w:sz w:val="24"/>
                <w:szCs w:val="24"/>
              </w:rPr>
              <w:t>537101888</w:t>
            </w:r>
          </w:p>
        </w:tc>
      </w:tr>
    </w:tbl>
    <w:p w14:paraId="1D57D525" w14:textId="77777777" w:rsidR="008A338E" w:rsidRPr="000A2D69" w:rsidRDefault="008A338E">
      <w:pPr>
        <w:spacing w:line="1" w:lineRule="exact"/>
      </w:pPr>
    </w:p>
    <w:p w14:paraId="724BC49F" w14:textId="77777777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5166E5C4" w:rsidR="00080D65" w:rsidRPr="0057685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земельну ділянку (</w:t>
      </w:r>
      <w:r w:rsidR="00693610">
        <w:rPr>
          <w:b w:val="0"/>
          <w:sz w:val="24"/>
          <w:szCs w:val="24"/>
        </w:rPr>
        <w:t xml:space="preserve">кадастровий номер </w:t>
      </w:r>
      <w:r w:rsidR="0027157C" w:rsidRPr="0057685E">
        <w:rPr>
          <w:b w:val="0"/>
          <w:sz w:val="24"/>
          <w:szCs w:val="24"/>
        </w:rPr>
        <w:t>8000000000:72:446:0004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Солом'янський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Севастопольська площа, 5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5B3D563F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0,39</w:t>
            </w:r>
            <w:r w:rsidR="00693610">
              <w:rPr>
                <w:i/>
                <w:iCs/>
                <w:sz w:val="24"/>
                <w:szCs w:val="24"/>
              </w:rPr>
              <w:t>49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4CB7D0CD" w:rsidR="008A338E" w:rsidRPr="00DA6C3F" w:rsidRDefault="00DA6C3F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право в процесі оформлення (</w:t>
            </w:r>
            <w:r w:rsidR="00726D11" w:rsidRPr="0057685E">
              <w:rPr>
                <w:i/>
                <w:sz w:val="24"/>
                <w:szCs w:val="24"/>
              </w:rPr>
              <w:t>оренда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CF2418" w:rsidRPr="0057685E" w14:paraId="27702FE9" w14:textId="77777777" w:rsidTr="000A2D69">
        <w:trPr>
          <w:trHeight w:hRule="exact" w:val="310"/>
        </w:trPr>
        <w:tc>
          <w:tcPr>
            <w:tcW w:w="3293" w:type="dxa"/>
            <w:shd w:val="clear" w:color="auto" w:fill="FFFFFF"/>
          </w:tcPr>
          <w:p w14:paraId="2C9BDBEE" w14:textId="4BE8215A" w:rsidR="00CF2418" w:rsidRPr="0057685E" w:rsidRDefault="003B3924" w:rsidP="00DA6C3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6C3F">
              <w:rPr>
                <w:sz w:val="24"/>
                <w:szCs w:val="24"/>
              </w:rPr>
              <w:t>Заявлене ц</w:t>
            </w:r>
            <w:r w:rsidR="00E42594">
              <w:rPr>
                <w:sz w:val="24"/>
                <w:szCs w:val="24"/>
              </w:rPr>
              <w:t>ільове призначення:</w:t>
            </w:r>
          </w:p>
        </w:tc>
        <w:tc>
          <w:tcPr>
            <w:tcW w:w="6346" w:type="dxa"/>
            <w:shd w:val="clear" w:color="auto" w:fill="FFFFFF"/>
          </w:tcPr>
          <w:p w14:paraId="7250F913" w14:textId="7B16DF00" w:rsidR="00CF2418" w:rsidRPr="0057685E" w:rsidRDefault="000A2D69" w:rsidP="000A2D69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0A2D69">
              <w:rPr>
                <w:i/>
                <w:sz w:val="24"/>
                <w:szCs w:val="24"/>
              </w:rPr>
              <w:t>для будівництва та о</w:t>
            </w:r>
            <w:r>
              <w:rPr>
                <w:i/>
                <w:sz w:val="24"/>
                <w:szCs w:val="24"/>
              </w:rPr>
              <w:t>бслуговування будівель торгівлі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57685E">
        <w:trPr>
          <w:cantSplit/>
          <w:trHeight w:val="864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49F0989D" w:rsidR="00622A5B" w:rsidRPr="00F336A8" w:rsidRDefault="000A2D69" w:rsidP="000A2D6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розташований автозаправний комплекс загальною площею 621,7 кв. м, який перебуває у власності ТОВАРИСТВА З ОБМЕЖЕНОЮ ВІДПОВІДАЛЬНІСТЮ «ТОП НІВО», право власності зареєстровано у Державному реєстрі речових прав на нерухоме майно 12.09.2013, номер відомостей про речове право 2489609 (інформація з Державного реєстру речових прав на нерухоме майно від 13.06.2023 № 335496535).</w:t>
            </w:r>
          </w:p>
        </w:tc>
      </w:tr>
      <w:tr w:rsidR="00622A5B" w:rsidRPr="0070402C" w14:paraId="1055C217" w14:textId="77777777" w:rsidTr="000A2D69">
        <w:trPr>
          <w:cantSplit/>
          <w:trHeight w:val="70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5F03F868" w:rsidR="00622A5B" w:rsidRPr="00F336A8" w:rsidRDefault="00622A5B" w:rsidP="000A2D6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0CA5222F" w:rsidR="00DA6C3F" w:rsidRPr="00F336A8" w:rsidRDefault="00622A5B" w:rsidP="00F9695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</w:t>
            </w:r>
            <w:r w:rsidR="00BA70E4">
              <w:rPr>
                <w:rFonts w:ascii="Times New Roman" w:eastAsia="Times New Roman" w:hAnsi="Times New Roman" w:cs="Times New Roman"/>
                <w:i/>
              </w:rPr>
              <w:t>з урахуванням змін внесених рішенням Київської міської ради від 12.07.2007                          № 1097/1758</w:t>
            </w:r>
            <w:r w:rsidR="00F96956">
              <w:rPr>
                <w:rFonts w:ascii="Times New Roman" w:eastAsia="Times New Roman" w:hAnsi="Times New Roman" w:cs="Times New Roman"/>
                <w:i/>
              </w:rPr>
              <w:t>,</w:t>
            </w:r>
            <w:r w:rsidR="00BA70E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земельна ділянка за функціональним призначенням належить до </w:t>
            </w:r>
            <w:r w:rsidR="00BA70E4">
              <w:rPr>
                <w:rFonts w:ascii="Times New Roman" w:eastAsia="Times New Roman" w:hAnsi="Times New Roman" w:cs="Times New Roman"/>
                <w:i/>
              </w:rPr>
              <w:t xml:space="preserve">території громадських </w:t>
            </w:r>
            <w:r w:rsidR="00DA6C3F">
              <w:rPr>
                <w:rFonts w:ascii="Times New Roman" w:eastAsia="Times New Roman" w:hAnsi="Times New Roman" w:cs="Times New Roman"/>
                <w:i/>
              </w:rPr>
              <w:t xml:space="preserve">будівель і споруд </w:t>
            </w:r>
            <w:r w:rsidR="00DA6C3F" w:rsidRPr="0081423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DA6C3F">
              <w:rPr>
                <w:rFonts w:ascii="Times New Roman" w:eastAsia="Times New Roman" w:hAnsi="Times New Roman" w:cs="Times New Roman"/>
                <w:i/>
                <w:color w:val="auto"/>
              </w:rPr>
              <w:t>08</w:t>
            </w:r>
            <w:r w:rsidR="00DA6C3F" w:rsidRPr="00814238">
              <w:rPr>
                <w:rFonts w:ascii="Times New Roman" w:eastAsia="Times New Roman" w:hAnsi="Times New Roman" w:cs="Times New Roman"/>
                <w:i/>
                <w:color w:val="auto"/>
              </w:rPr>
              <w:t>.06.2023 № 055-</w:t>
            </w:r>
            <w:r w:rsidR="00DA6C3F">
              <w:rPr>
                <w:rFonts w:ascii="Times New Roman" w:eastAsia="Times New Roman" w:hAnsi="Times New Roman" w:cs="Times New Roman"/>
                <w:i/>
                <w:color w:val="auto"/>
              </w:rPr>
              <w:t>4178</w:t>
            </w:r>
            <w:r w:rsidR="00DA6C3F" w:rsidRPr="00814238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="00DA6C3F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37756763" w:rsidR="00622A5B" w:rsidRPr="0070402C" w:rsidRDefault="0045666D" w:rsidP="0094104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41046">
              <w:rPr>
                <w:rFonts w:ascii="Times New Roman" w:hAnsi="Times New Roman" w:cs="Times New Roman"/>
                <w:i/>
              </w:rPr>
              <w:t>, право власності зареєстровано у Державному реєстрі речових прав на нерухоме майно 03.06.2016, номер відомостей про речове право 14883707 (інформація з Державного реєстру речових прав на нерухоме майно від 13.06.2023                         № 335496847)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941046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31EE8183" w:rsidR="00AD604C" w:rsidRPr="0004543F" w:rsidRDefault="0045666D" w:rsidP="0057685E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5C528814" w14:textId="77777777" w:rsidTr="00693610">
        <w:trPr>
          <w:trHeight w:val="274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6E059136" w14:textId="77777777" w:rsidR="002A235E" w:rsidRDefault="002A235E" w:rsidP="003001C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не перетинається з червоними лініями.</w:t>
            </w:r>
          </w:p>
          <w:p w14:paraId="05E51E00" w14:textId="48DFB032" w:rsidR="00DE1A67" w:rsidRDefault="0004543F" w:rsidP="0031178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 на підставі рішення Київської міської ради від 12.07.2007 № 1097/1758 передана в оренду</w:t>
            </w:r>
            <w:r w:rsidR="00941046">
              <w:rPr>
                <w:rFonts w:ascii="Times New Roman" w:hAnsi="Times New Roman" w:cs="Times New Roman"/>
                <w:i/>
                <w:color w:val="auto"/>
              </w:rPr>
              <w:t xml:space="preserve"> на 5 років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ТОВАРИСТВУ З ОБМЕЖЕНОЮ ВІДПОВІДАЛЬНІСТЮ «ТОП НІВО» </w:t>
            </w:r>
            <w:r w:rsidR="00DE1A67">
              <w:rPr>
                <w:rFonts w:ascii="Times New Roman" w:hAnsi="Times New Roman" w:cs="Times New Roman"/>
                <w:i/>
                <w:color w:val="auto"/>
              </w:rPr>
              <w:t>для будівництва, експлуатації та обслуговування торгово-офісного комплексу з підземним паркінгом.</w:t>
            </w:r>
          </w:p>
          <w:p w14:paraId="25E32DF3" w14:textId="77777777" w:rsidR="00C46370" w:rsidRDefault="00C46370" w:rsidP="0031178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auto"/>
              </w:rPr>
              <w:t>Д</w:t>
            </w:r>
            <w:r w:rsidR="0004543F">
              <w:rPr>
                <w:rFonts w:ascii="Times New Roman" w:hAnsi="Times New Roman" w:cs="Times New Roman"/>
                <w:i/>
                <w:color w:val="auto"/>
              </w:rPr>
              <w:t>огов</w:t>
            </w:r>
            <w:r>
              <w:rPr>
                <w:rFonts w:ascii="Times New Roman" w:hAnsi="Times New Roman" w:cs="Times New Roman"/>
                <w:i/>
                <w:color w:val="auto"/>
              </w:rPr>
              <w:t>і</w:t>
            </w:r>
            <w:r w:rsidR="0004543F">
              <w:rPr>
                <w:rFonts w:ascii="Times New Roman" w:hAnsi="Times New Roman" w:cs="Times New Roman"/>
                <w:i/>
                <w:color w:val="auto"/>
              </w:rPr>
              <w:t>р оренди земельної д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ілянки від </w:t>
            </w:r>
            <w:r w:rsidR="00941046" w:rsidRPr="00941046">
              <w:rPr>
                <w:rFonts w:ascii="Times New Roman" w:hAnsi="Times New Roman" w:cs="Times New Roman"/>
                <w:i/>
                <w:color w:val="auto"/>
              </w:rPr>
              <w:t>12.03.2008</w:t>
            </w:r>
            <w:r w:rsidR="00941046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           </w:t>
            </w:r>
            <w:r w:rsidR="00941046">
              <w:rPr>
                <w:rFonts w:ascii="Times New Roman" w:hAnsi="Times New Roman" w:cs="Times New Roman"/>
                <w:i/>
                <w:color w:val="auto"/>
              </w:rPr>
              <w:t xml:space="preserve">№ </w:t>
            </w:r>
            <w:r w:rsidR="00941046" w:rsidRPr="00C46370">
              <w:rPr>
                <w:rFonts w:ascii="Times New Roman" w:hAnsi="Times New Roman" w:cs="Times New Roman"/>
                <w:i/>
                <w:color w:val="auto"/>
              </w:rPr>
              <w:t>72-6-00494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6491730F" w14:textId="39635045" w:rsidR="0004543F" w:rsidRPr="00C46370" w:rsidRDefault="00C46370" w:rsidP="00C4637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За даними державного реєстру речових прав на нерухоме майно строк дії договору закінчився 14.09.2021.</w:t>
            </w:r>
          </w:p>
          <w:p w14:paraId="6F403D66" w14:textId="6CBB1DA3" w:rsidR="00941046" w:rsidRDefault="00941046" w:rsidP="0094104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13B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Київська міська рада рішення про поновлення договору оренди вказаної земельної ділянки не приймала.</w:t>
            </w:r>
          </w:p>
          <w:p w14:paraId="616CE807" w14:textId="7D891A77" w:rsidR="00693610" w:rsidRPr="00F13B32" w:rsidRDefault="00693610" w:rsidP="0094104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Проєктом рішення передбачено надати дозвіл на розроблення проєкту землеустрою щодо зміни цільового призначення земельної ділянки.  </w:t>
            </w:r>
          </w:p>
          <w:p w14:paraId="4070127D" w14:textId="001AB284" w:rsidR="00E42594" w:rsidRPr="00F14BC5" w:rsidRDefault="00E42594" w:rsidP="00E4259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(зміна цільового призначення земельної ділянки) </w:t>
            </w:r>
            <w:r w:rsidRPr="00F14BC5">
              <w:rPr>
                <w:rFonts w:ascii="Times New Roman" w:hAnsi="Times New Roman" w:cs="Times New Roman"/>
                <w:i/>
                <w:color w:val="auto"/>
              </w:rPr>
              <w:t>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68216DC" w14:textId="77777777" w:rsidR="00E42594" w:rsidRPr="00F14BC5" w:rsidRDefault="00E42594" w:rsidP="00E4259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       від 17.04.2018 у справі № 826/8107/16, від 16.09.2021 у справі № 826/8847/16.</w:t>
            </w:r>
          </w:p>
          <w:p w14:paraId="4FDC9525" w14:textId="47C8D888" w:rsidR="004F35D0" w:rsidRPr="0004543F" w:rsidRDefault="00E42594" w:rsidP="00E4259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B6FAC0B" w14:textId="6EA092CA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3C65E287" w14:textId="1998C2DE" w:rsid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3F1E8706" w14:textId="22FCF54C" w:rsidR="0053038D" w:rsidRDefault="0053038D" w:rsidP="00535FA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C46370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1EF6ABE" w14:textId="54579560" w:rsidR="00535FA2" w:rsidRPr="00D43C78" w:rsidRDefault="00535FA2" w:rsidP="00535FA2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r w:rsidRPr="00C46370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</w:t>
      </w:r>
      <w:r w:rsidR="00C46370">
        <w:rPr>
          <w:i w:val="0"/>
          <w:sz w:val="24"/>
          <w:szCs w:val="24"/>
        </w:rPr>
        <w:t xml:space="preserve">                   </w:t>
      </w:r>
      <w:r w:rsidRPr="00D43C78">
        <w:rPr>
          <w:i w:val="0"/>
          <w:color w:val="auto"/>
          <w:sz w:val="24"/>
          <w:szCs w:val="24"/>
        </w:rPr>
        <w:t>не матиме впливу на життєдіяльність цієї категорії.</w:t>
      </w:r>
    </w:p>
    <w:p w14:paraId="5B46083C" w14:textId="77777777" w:rsidR="00823CCF" w:rsidRPr="00CF2418" w:rsidRDefault="00823CCF" w:rsidP="00535FA2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10EA8DF5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 xml:space="preserve">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1154B4CB" w14:textId="77777777" w:rsidR="00D43C78" w:rsidRPr="00CF2418" w:rsidRDefault="00D43C78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EA5C1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F96956">
      <w:headerReference w:type="default" r:id="rId9"/>
      <w:footerReference w:type="default" r:id="rId10"/>
      <w:pgSz w:w="11907" w:h="16839" w:code="9"/>
      <w:pgMar w:top="1134" w:right="567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443C" w14:textId="77777777" w:rsidR="00F54579" w:rsidRDefault="00F54579">
      <w:r>
        <w:separator/>
      </w:r>
    </w:p>
  </w:endnote>
  <w:endnote w:type="continuationSeparator" w:id="0">
    <w:p w14:paraId="1F4B27A5" w14:textId="77777777" w:rsidR="00F54579" w:rsidRDefault="00F5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4838C" w14:textId="77777777" w:rsidR="00F54579" w:rsidRDefault="00F54579"/>
  </w:footnote>
  <w:footnote w:type="continuationSeparator" w:id="0">
    <w:p w14:paraId="58192C83" w14:textId="77777777" w:rsidR="00F54579" w:rsidRDefault="00F5457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EA5C1D">
          <w:rPr>
            <w:i w:val="0"/>
            <w:sz w:val="12"/>
            <w:szCs w:val="12"/>
            <w:lang w:val="ru-RU"/>
          </w:rPr>
          <w:t>ПЗН-55129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EA5C1D">
          <w:rPr>
            <w:i w:val="0"/>
            <w:sz w:val="12"/>
            <w:szCs w:val="12"/>
            <w:lang w:val="ru-RU"/>
          </w:rPr>
          <w:t>13.06.2023</w:t>
        </w:r>
        <w:r w:rsidR="0070323B" w:rsidRPr="00EA5C1D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537101888</w:t>
        </w:r>
      </w:p>
      <w:p w14:paraId="3796BF5B" w14:textId="3316CF0B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E1A67" w:rsidRPr="00DE1A6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4543F"/>
    <w:rsid w:val="000502C7"/>
    <w:rsid w:val="00055057"/>
    <w:rsid w:val="0007273B"/>
    <w:rsid w:val="00080D65"/>
    <w:rsid w:val="00084CB7"/>
    <w:rsid w:val="000A2D69"/>
    <w:rsid w:val="000A3021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3610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23817"/>
    <w:rsid w:val="00932BDC"/>
    <w:rsid w:val="00941046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A70E4"/>
    <w:rsid w:val="00BB5A78"/>
    <w:rsid w:val="00BF0CF7"/>
    <w:rsid w:val="00BF6ECA"/>
    <w:rsid w:val="00C133A7"/>
    <w:rsid w:val="00C15FC3"/>
    <w:rsid w:val="00C36B69"/>
    <w:rsid w:val="00C46370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A6C3F"/>
    <w:rsid w:val="00DB272F"/>
    <w:rsid w:val="00DD59E7"/>
    <w:rsid w:val="00DE1A67"/>
    <w:rsid w:val="00DE498C"/>
    <w:rsid w:val="00DF0133"/>
    <w:rsid w:val="00DF46C6"/>
    <w:rsid w:val="00E05220"/>
    <w:rsid w:val="00E1009D"/>
    <w:rsid w:val="00E22F69"/>
    <w:rsid w:val="00E32B4A"/>
    <w:rsid w:val="00E40910"/>
    <w:rsid w:val="00E42594"/>
    <w:rsid w:val="00E5173D"/>
    <w:rsid w:val="00E751C2"/>
    <w:rsid w:val="00E90218"/>
    <w:rsid w:val="00E94376"/>
    <w:rsid w:val="00E95507"/>
    <w:rsid w:val="00EA0415"/>
    <w:rsid w:val="00EA5C1D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44614"/>
    <w:rsid w:val="00F54579"/>
    <w:rsid w:val="00F71391"/>
    <w:rsid w:val="00F823CF"/>
    <w:rsid w:val="00F924EE"/>
    <w:rsid w:val="00F9688A"/>
    <w:rsid w:val="00F96956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2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6038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Рабець Максим Миколайович</cp:lastModifiedBy>
  <cp:revision>99</cp:revision>
  <cp:lastPrinted>2023-06-29T13:57:00Z</cp:lastPrinted>
  <dcterms:created xsi:type="dcterms:W3CDTF">2019-11-25T15:44:00Z</dcterms:created>
  <dcterms:modified xsi:type="dcterms:W3CDTF">2023-06-29T13:57:00Z</dcterms:modified>
</cp:coreProperties>
</file>