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10BC75B4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35033E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0ABBEA6E" w:rsidR="00F6318B" w:rsidRPr="00B0502F" w:rsidRDefault="00E2725F" w:rsidP="002306E6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306E6" w:rsidRPr="002306E6">
              <w:rPr>
                <w:b/>
                <w:sz w:val="28"/>
                <w:szCs w:val="28"/>
                <w:highlight w:val="white"/>
                <w:lang w:eastAsia="uk-UA"/>
              </w:rPr>
              <w:t>товариств</w:t>
            </w:r>
            <w:proofErr w:type="spellEnd"/>
            <w:r w:rsidR="002306E6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2306E6" w:rsidRPr="002306E6">
              <w:rPr>
                <w:b/>
                <w:sz w:val="28"/>
                <w:szCs w:val="28"/>
                <w:highlight w:val="white"/>
                <w:lang w:eastAsia="uk-UA"/>
              </w:rPr>
              <w:t xml:space="preserve"> з </w:t>
            </w:r>
            <w:proofErr w:type="spellStart"/>
            <w:r w:rsidR="002306E6" w:rsidRPr="002306E6">
              <w:rPr>
                <w:b/>
                <w:sz w:val="28"/>
                <w:szCs w:val="28"/>
                <w:highlight w:val="white"/>
                <w:lang w:eastAsia="uk-UA"/>
              </w:rPr>
              <w:t>обмеженою</w:t>
            </w:r>
            <w:proofErr w:type="spellEnd"/>
            <w:r w:rsidR="002306E6" w:rsidRPr="002306E6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 w:rsidR="002306E6" w:rsidRPr="002306E6">
              <w:rPr>
                <w:b/>
                <w:sz w:val="28"/>
                <w:szCs w:val="28"/>
                <w:highlight w:val="white"/>
                <w:lang w:eastAsia="uk-UA"/>
              </w:rPr>
              <w:t>відповідальністю</w:t>
            </w:r>
            <w:proofErr w:type="spellEnd"/>
            <w:r w:rsidR="002306E6" w:rsidRPr="002306E6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r w:rsidR="00C72FE2" w:rsidRPr="002306E6">
              <w:rPr>
                <w:b/>
                <w:sz w:val="28"/>
                <w:szCs w:val="28"/>
                <w:highlight w:val="white"/>
                <w:lang w:eastAsia="uk-UA"/>
              </w:rPr>
              <w:t>«МАКСИМУМ»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306E6">
              <w:rPr>
                <w:b/>
                <w:sz w:val="28"/>
                <w:szCs w:val="28"/>
                <w:lang w:val="uk-UA"/>
              </w:rPr>
              <w:t xml:space="preserve">                 </w:t>
            </w:r>
            <w:r w:rsidRPr="005C5706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08 грудня 2006 року </w:t>
            </w:r>
            <w:r w:rsidR="002306E6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№ 66-6-00372 </w:t>
            </w:r>
            <w:r w:rsidR="002B603D">
              <w:rPr>
                <w:b/>
                <w:sz w:val="28"/>
                <w:szCs w:val="28"/>
                <w:lang w:val="uk-UA"/>
              </w:rPr>
              <w:t>(зі змінами)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599405274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0498A9F">
                <v:stroke joinstyle="miter"/>
                <v:path gradientshapeok="t" o:connecttype="rect"/>
              </v:shapetype>
              <v:shape id="Надпись 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>
                <v:textbox style="mso-fit-shape-to-text:t">
                  <w:txbxContent>
                    <w:p w:rsidRPr="00103F8D" w:rsidR="008A6D0F" w:rsidP="00E476B7" w:rsidRDefault="00103F8D" w14:paraId="12AFE333" w14:textId="22F971D6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Style w:val="af1"/>
                          <w:i w:val="0"/>
                          <w:lang w:val="en-US"/>
                        </w:rPr>
                        <w:t xml:space="preserve">599405274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270B080F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 Закону України «Про місцеве самоврядування в Україні» та враховуючи звернення </w:t>
      </w:r>
      <w:r w:rsidR="00114E20" w:rsidRPr="002306E6">
        <w:rPr>
          <w:snapToGrid w:val="0"/>
          <w:sz w:val="28"/>
          <w:lang w:val="uk-UA"/>
        </w:rPr>
        <w:t>товариств</w:t>
      </w:r>
      <w:r w:rsidR="008652A3">
        <w:rPr>
          <w:snapToGrid w:val="0"/>
          <w:sz w:val="28"/>
          <w:lang w:val="uk-UA"/>
        </w:rPr>
        <w:t>а</w:t>
      </w:r>
      <w:r w:rsidR="00114E20" w:rsidRPr="002306E6">
        <w:rPr>
          <w:snapToGrid w:val="0"/>
          <w:sz w:val="28"/>
          <w:lang w:val="uk-UA"/>
        </w:rPr>
        <w:t xml:space="preserve"> з обмеженою відповідальністю</w:t>
      </w:r>
      <w:r w:rsidRPr="002306E6">
        <w:rPr>
          <w:snapToGrid w:val="0"/>
          <w:sz w:val="28"/>
          <w:lang w:val="uk-UA"/>
        </w:rPr>
        <w:t xml:space="preserve"> «МАКСИМУМ»</w:t>
      </w:r>
      <w:r>
        <w:rPr>
          <w:snapToGrid w:val="0"/>
          <w:sz w:val="28"/>
          <w:lang w:val="uk-UA"/>
        </w:rPr>
        <w:t xml:space="preserve"> від </w:t>
      </w:r>
      <w:r w:rsidR="00114E20">
        <w:rPr>
          <w:snapToGrid w:val="0"/>
          <w:sz w:val="28"/>
          <w:lang w:val="uk-UA"/>
        </w:rPr>
        <w:t xml:space="preserve">09 лютого </w:t>
      </w:r>
      <w:r w:rsidR="005C6107" w:rsidRPr="002306E6">
        <w:rPr>
          <w:snapToGrid w:val="0"/>
          <w:sz w:val="28"/>
          <w:lang w:val="uk-UA"/>
        </w:rPr>
        <w:t>2022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>
        <w:rPr>
          <w:snapToGrid w:val="0"/>
          <w:sz w:val="28"/>
          <w:lang w:val="uk-UA"/>
        </w:rPr>
        <w:t xml:space="preserve">№ </w:t>
      </w:r>
      <w:r w:rsidRPr="002306E6">
        <w:rPr>
          <w:snapToGrid w:val="0"/>
          <w:sz w:val="28"/>
          <w:lang w:val="uk-UA"/>
        </w:rPr>
        <w:t>599405274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4F392690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на </w:t>
      </w:r>
      <w:r w:rsidRPr="002306E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(кадастровий номер </w:t>
      </w:r>
      <w:r w:rsidRPr="002306E6">
        <w:rPr>
          <w:rFonts w:ascii="Times New Roman" w:hAnsi="Times New Roman"/>
          <w:sz w:val="28"/>
          <w:szCs w:val="28"/>
          <w:lang w:val="uk-UA"/>
        </w:rPr>
        <w:t>8000000000:66:134:0011</w:t>
      </w:r>
      <w:r>
        <w:rPr>
          <w:rFonts w:ascii="Times New Roman" w:hAnsi="Times New Roman"/>
          <w:sz w:val="28"/>
          <w:szCs w:val="28"/>
          <w:lang w:val="uk-UA"/>
        </w:rPr>
        <w:t xml:space="preserve">, площа </w:t>
      </w:r>
      <w:r w:rsidRPr="002306E6">
        <w:rPr>
          <w:rFonts w:ascii="Times New Roman" w:hAnsi="Times New Roman"/>
          <w:sz w:val="28"/>
          <w:szCs w:val="28"/>
          <w:highlight w:val="white"/>
          <w:lang w:val="uk-UA" w:eastAsia="uk-UA"/>
        </w:rPr>
        <w:t>9,6828</w:t>
      </w:r>
      <w:r>
        <w:rPr>
          <w:rFonts w:ascii="Times New Roman" w:hAnsi="Times New Roman"/>
          <w:sz w:val="28"/>
          <w:szCs w:val="28"/>
          <w:lang w:val="uk-UA"/>
        </w:rPr>
        <w:t xml:space="preserve"> га) від 08 грудня 2006 року </w:t>
      </w:r>
      <w:r w:rsidR="002306E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№ 66-6-00372 </w:t>
      </w:r>
      <w:r w:rsidR="002306E6">
        <w:rPr>
          <w:rFonts w:ascii="Times New Roman" w:hAnsi="Times New Roman"/>
          <w:sz w:val="28"/>
          <w:szCs w:val="28"/>
          <w:lang w:val="uk-UA"/>
        </w:rPr>
        <w:t>(у редакції договору про поновлення та внесення змін                           від 25</w:t>
      </w:r>
      <w:r w:rsidR="003F4B1E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2306E6">
        <w:rPr>
          <w:rFonts w:ascii="Times New Roman" w:hAnsi="Times New Roman"/>
          <w:sz w:val="28"/>
          <w:szCs w:val="28"/>
          <w:lang w:val="uk-UA"/>
        </w:rPr>
        <w:t>2012</w:t>
      </w:r>
      <w:r w:rsidR="003F4B1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306E6">
        <w:rPr>
          <w:rFonts w:ascii="Times New Roman" w:hAnsi="Times New Roman"/>
          <w:sz w:val="28"/>
          <w:szCs w:val="28"/>
          <w:lang w:val="uk-UA"/>
        </w:rPr>
        <w:t xml:space="preserve"> № 66-6-00597, з урахуванням договору про поновлення      </w:t>
      </w:r>
      <w:r w:rsidR="003F4B1E">
        <w:rPr>
          <w:rFonts w:ascii="Times New Roman" w:hAnsi="Times New Roman"/>
          <w:sz w:val="28"/>
          <w:szCs w:val="28"/>
          <w:lang w:val="uk-UA"/>
        </w:rPr>
        <w:t xml:space="preserve">                         від 12 травня </w:t>
      </w:r>
      <w:r w:rsidR="002306E6">
        <w:rPr>
          <w:rFonts w:ascii="Times New Roman" w:hAnsi="Times New Roman"/>
          <w:sz w:val="28"/>
          <w:szCs w:val="28"/>
          <w:lang w:val="uk-UA"/>
        </w:rPr>
        <w:t>2017</w:t>
      </w:r>
      <w:r w:rsidR="003F4B1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306E6">
        <w:rPr>
          <w:rFonts w:ascii="Times New Roman" w:hAnsi="Times New Roman"/>
          <w:sz w:val="28"/>
          <w:szCs w:val="28"/>
          <w:lang w:val="uk-UA"/>
        </w:rPr>
        <w:t xml:space="preserve"> № 374)</w:t>
      </w:r>
      <w:r>
        <w:rPr>
          <w:rFonts w:ascii="Times New Roman" w:hAnsi="Times New Roman"/>
          <w:sz w:val="28"/>
          <w:szCs w:val="28"/>
          <w:lang w:val="uk-UA"/>
        </w:rPr>
        <w:t xml:space="preserve">, укладений між Київською міською радою та </w:t>
      </w:r>
      <w:r w:rsidR="002306E6" w:rsidRPr="002306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товариство</w:t>
      </w:r>
      <w:r w:rsidR="002306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="002306E6" w:rsidRPr="002306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Pr="002306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«МАКСИМУМ»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06E6">
        <w:rPr>
          <w:rFonts w:ascii="Times New Roman" w:hAnsi="Times New Roman"/>
          <w:sz w:val="28"/>
          <w:szCs w:val="28"/>
          <w:lang w:val="uk-UA"/>
        </w:rPr>
        <w:t xml:space="preserve">для будівництва, експлуатації та обслуговування комплексу будівель житлового та соціально-культурного призначення з вбудовано-прибудованими торговельно-офісними приміщеннями та підземним паркінгом 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2306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вул. Воскресенськ</w:t>
      </w:r>
      <w:r w:rsidR="002306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r w:rsidRPr="002306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7 у Дніпровському районі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(категорія земель - </w:t>
      </w:r>
      <w:r w:rsidRPr="002306E6">
        <w:rPr>
          <w:rFonts w:ascii="Times New Roman" w:hAnsi="Times New Roman"/>
          <w:sz w:val="28"/>
          <w:szCs w:val="28"/>
          <w:highlight w:val="white"/>
          <w:lang w:val="uk-UA" w:eastAsia="uk-UA"/>
        </w:rPr>
        <w:t>землі житлової та громадської забудови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04893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7048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04893">
        <w:rPr>
          <w:rFonts w:ascii="Times New Roman" w:hAnsi="Times New Roman"/>
          <w:sz w:val="28"/>
          <w:szCs w:val="28"/>
          <w:lang w:val="uk-UA"/>
        </w:rPr>
        <w:t>02.07</w:t>
      </w:r>
      <w:r>
        <w:rPr>
          <w:rFonts w:ascii="Times New Roman" w:hAnsi="Times New Roman"/>
          <w:sz w:val="28"/>
          <w:szCs w:val="28"/>
          <w:lang w:val="uk-UA"/>
        </w:rPr>
        <w:t xml:space="preserve">, справа № </w:t>
      </w:r>
      <w:r w:rsidRPr="00704893">
        <w:rPr>
          <w:rFonts w:ascii="Times New Roman" w:hAnsi="Times New Roman"/>
          <w:sz w:val="28"/>
          <w:szCs w:val="28"/>
          <w:lang w:val="uk-UA"/>
        </w:rPr>
        <w:t>599405274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4237E4A4" w14:textId="5CA99DD5" w:rsidR="004D40FD" w:rsidRDefault="002E402E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Встановити, що розмір річної орендної плати та інші умови договору оренди земельної ділянки від 08 грудня 2006 року № 66-6-00372 </w:t>
      </w:r>
      <w:r w:rsidRPr="002E4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06E6">
        <w:rPr>
          <w:rFonts w:ascii="Times New Roman" w:hAnsi="Times New Roman"/>
          <w:sz w:val="28"/>
          <w:szCs w:val="28"/>
          <w:lang w:val="uk-UA"/>
        </w:rPr>
        <w:t xml:space="preserve">(зі змінами) </w:t>
      </w:r>
      <w:r>
        <w:rPr>
          <w:rFonts w:ascii="Times New Roman" w:hAnsi="Times New Roman"/>
          <w:sz w:val="28"/>
          <w:szCs w:val="28"/>
          <w:lang w:val="uk-UA"/>
        </w:rPr>
        <w:t>підлягають приведенню у відповідність до законодавства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6B9E28B" w14:textId="50F3A114" w:rsidR="00C72FE2" w:rsidRDefault="002306E6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</w:t>
      </w:r>
      <w:r w:rsidRPr="002306E6">
        <w:rPr>
          <w:rFonts w:ascii="Times New Roman" w:hAnsi="Times New Roman"/>
          <w:sz w:val="28"/>
          <w:szCs w:val="28"/>
          <w:lang w:val="uk-UA"/>
        </w:rPr>
        <w:t>овариств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306E6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</w:t>
      </w:r>
      <w:r w:rsidRPr="002306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«МАКСИМУМ»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у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проєкту договору про укладення договору оренди земельної ділянки від 08 грудня 2006 року </w:t>
      </w:r>
      <w:r w:rsidR="005C3A12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№ 66-6-00372  </w:t>
      </w:r>
      <w:r w:rsidR="005C3A12">
        <w:rPr>
          <w:rFonts w:ascii="Times New Roman" w:hAnsi="Times New Roman"/>
          <w:sz w:val="28"/>
          <w:szCs w:val="28"/>
          <w:lang w:val="uk-UA"/>
        </w:rPr>
        <w:t xml:space="preserve">(зі змінами) </w:t>
      </w:r>
      <w:r w:rsidR="00C72FE2">
        <w:rPr>
          <w:rFonts w:ascii="Times New Roman" w:hAnsi="Times New Roman"/>
          <w:sz w:val="28"/>
          <w:szCs w:val="28"/>
          <w:lang w:val="uk-UA"/>
        </w:rPr>
        <w:t>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DD35864" w14:textId="11E765B9" w:rsidR="00FF2729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75362C11" w14:textId="77777777" w:rsidR="00E476B7" w:rsidRPr="00547501" w:rsidRDefault="00E476B7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E476B7" w14:paraId="64458F84" w14:textId="77777777" w:rsidTr="001C3D70">
        <w:tc>
          <w:tcPr>
            <w:tcW w:w="6096" w:type="dxa"/>
          </w:tcPr>
          <w:p w14:paraId="5CCF5127" w14:textId="77777777" w:rsidR="00E476B7" w:rsidRDefault="00E476B7" w:rsidP="008420F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8692A66" w14:textId="77777777" w:rsidR="00E476B7" w:rsidRDefault="00E476B7" w:rsidP="008420F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03A0952" w14:textId="158C4DBE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543" w:type="dxa"/>
          </w:tcPr>
          <w:p w14:paraId="423E2A7F" w14:textId="77777777" w:rsidR="00E476B7" w:rsidRDefault="00E476B7" w:rsidP="00E476B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79F0F3" w14:textId="77777777" w:rsidR="00E476B7" w:rsidRDefault="00E476B7" w:rsidP="00E476B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D84372D" w14:textId="6B1DE9A9" w:rsidR="00E476B7" w:rsidRDefault="00E476B7" w:rsidP="00E80871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E476B7" w14:paraId="4A4AAC9C" w14:textId="77777777" w:rsidTr="001C3D70">
        <w:trPr>
          <w:trHeight w:val="1257"/>
        </w:trPr>
        <w:tc>
          <w:tcPr>
            <w:tcW w:w="6096" w:type="dxa"/>
          </w:tcPr>
          <w:p w14:paraId="169C7970" w14:textId="77777777" w:rsidR="00E476B7" w:rsidRDefault="00E476B7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1015C9B" w14:textId="69E21827" w:rsidR="00E476B7" w:rsidRPr="00CB7BE4" w:rsidRDefault="00CB385C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</w:t>
            </w:r>
            <w:r w:rsidR="00E476B7"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C4A8431" w14:textId="77777777" w:rsidR="00E476B7" w:rsidRPr="00CB7BE4" w:rsidRDefault="00E476B7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B9F9ED5" w14:textId="01BE3C7F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709446BB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31C1550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764AEAD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D78A80A" w14:textId="77777777" w:rsidR="0064784D" w:rsidRDefault="0064784D" w:rsidP="00CB385C">
            <w:pPr>
              <w:jc w:val="right"/>
              <w:rPr>
                <w:snapToGrid w:val="0"/>
                <w:sz w:val="2"/>
                <w:szCs w:val="2"/>
                <w:lang w:val="en-US" w:eastAsia="en-US"/>
              </w:rPr>
            </w:pPr>
          </w:p>
          <w:p w14:paraId="1EC2827A" w14:textId="77777777" w:rsidR="0064784D" w:rsidRDefault="0064784D" w:rsidP="00CB385C">
            <w:pPr>
              <w:jc w:val="right"/>
              <w:rPr>
                <w:snapToGrid w:val="0"/>
                <w:sz w:val="2"/>
                <w:szCs w:val="2"/>
                <w:lang w:val="en-US" w:eastAsia="en-US"/>
              </w:rPr>
            </w:pPr>
          </w:p>
          <w:p w14:paraId="159D3017" w14:textId="38D35722" w:rsidR="00E476B7" w:rsidRDefault="00E476B7" w:rsidP="00CB385C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proofErr w:type="spellStart"/>
            <w:r w:rsidRPr="00CB7BE4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CB7BE4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752D4D" w14:paraId="2D7909BE" w14:textId="77777777" w:rsidTr="001C3D70">
        <w:trPr>
          <w:trHeight w:val="1589"/>
        </w:trPr>
        <w:tc>
          <w:tcPr>
            <w:tcW w:w="6096" w:type="dxa"/>
          </w:tcPr>
          <w:p w14:paraId="48D4DA67" w14:textId="77777777" w:rsidR="00752D4D" w:rsidRDefault="00752D4D" w:rsidP="00752D4D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8CB823A" w14:textId="77777777" w:rsidR="00752D4D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директора</w:t>
            </w:r>
          </w:p>
          <w:p w14:paraId="224FB8A0" w14:textId="77777777" w:rsidR="00752D4D" w:rsidRPr="00CB7BE4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76A8586" w14:textId="77777777" w:rsidR="00752D4D" w:rsidRPr="00CB7BE4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13D8D68" w14:textId="7C9156BE" w:rsidR="00752D4D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103580B4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7C6199F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81B4288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5BFC1F0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33143262" w14:textId="77777777" w:rsidR="0064784D" w:rsidRPr="0064784D" w:rsidRDefault="0064784D" w:rsidP="0064784D">
            <w:pPr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42D66E9B" w14:textId="77777777" w:rsid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2C7BF3B4" w14:textId="77777777" w:rsid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5579F32B" w14:textId="375E01E8" w:rsidR="0064784D" w:rsidRDefault="00D204BE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  <w:r w:rsidRPr="00752D4D">
              <w:rPr>
                <w:snapToGrid w:val="0"/>
                <w:sz w:val="28"/>
                <w:szCs w:val="28"/>
                <w:lang w:val="uk-UA" w:eastAsia="en-US"/>
              </w:rPr>
              <w:t>Віктор ДВОРНІКОВ</w:t>
            </w:r>
          </w:p>
          <w:p w14:paraId="1166BD4E" w14:textId="7605BEE9" w:rsidR="0064784D" w:rsidRP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</w:tc>
      </w:tr>
      <w:tr w:rsidR="00752D4D" w:rsidRPr="005C3A12" w14:paraId="67C3D628" w14:textId="77777777" w:rsidTr="001C3D70">
        <w:trPr>
          <w:trHeight w:val="1705"/>
        </w:trPr>
        <w:tc>
          <w:tcPr>
            <w:tcW w:w="6096" w:type="dxa"/>
          </w:tcPr>
          <w:p w14:paraId="02782F3E" w14:textId="77777777" w:rsidR="00752D4D" w:rsidRDefault="00752D4D" w:rsidP="00752D4D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8697730" w14:textId="2746EDAF" w:rsidR="001057BA" w:rsidRDefault="005C3A12" w:rsidP="008420F7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</w:t>
            </w:r>
            <w:r w:rsidR="001057BA">
              <w:rPr>
                <w:color w:val="000000"/>
                <w:sz w:val="28"/>
                <w:szCs w:val="28"/>
                <w:lang w:val="uk-UA" w:eastAsia="uk-UA"/>
              </w:rPr>
              <w:t xml:space="preserve">аступник директора Департаменту – </w:t>
            </w:r>
          </w:p>
          <w:p w14:paraId="310E630D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 xml:space="preserve">начальник юридичного управління </w:t>
            </w:r>
          </w:p>
          <w:p w14:paraId="0FFAB1CF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F83FBA3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69D4134" w14:textId="255960DA" w:rsidR="00752D4D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3DF860E1" w14:textId="77777777" w:rsidR="00752D4D" w:rsidRPr="005C3A12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A1B3C17" w14:textId="77777777" w:rsidR="00752D4D" w:rsidRPr="005C3A12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4250AD4" w14:textId="77777777" w:rsidR="00752D4D" w:rsidRPr="005C3A12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47317B8B" w14:textId="77777777" w:rsidR="00752D4D" w:rsidRPr="005C3A12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21F3861" w14:textId="77777777" w:rsidR="00752D4D" w:rsidRPr="005C3A12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9DB2914" w14:textId="5A59F375" w:rsidR="00752D4D" w:rsidRPr="005C3A12" w:rsidRDefault="005C3A12" w:rsidP="00057D32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5C3A12">
              <w:rPr>
                <w:rStyle w:val="af0"/>
                <w:b w:val="0"/>
                <w:sz w:val="28"/>
                <w:szCs w:val="28"/>
              </w:rPr>
              <w:t>М</w:t>
            </w:r>
            <w:r w:rsidRPr="005C3A12">
              <w:rPr>
                <w:rStyle w:val="af0"/>
                <w:b w:val="0"/>
                <w:sz w:val="28"/>
                <w:szCs w:val="28"/>
                <w:lang w:val="uk-UA"/>
              </w:rPr>
              <w:t>арія ДЕГТЯРЕНКО</w:t>
            </w:r>
          </w:p>
        </w:tc>
      </w:tr>
      <w:tr w:rsidR="00562252" w:rsidRPr="005C3A12" w14:paraId="422AFA26" w14:textId="77777777" w:rsidTr="001C3D70">
        <w:trPr>
          <w:trHeight w:val="1705"/>
        </w:trPr>
        <w:tc>
          <w:tcPr>
            <w:tcW w:w="6096" w:type="dxa"/>
          </w:tcPr>
          <w:p w14:paraId="12392C56" w14:textId="77777777" w:rsidR="00562252" w:rsidRDefault="00562252" w:rsidP="00562252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B8CC6B0" w14:textId="16DC373F" w:rsidR="00562252" w:rsidRPr="00EE0252" w:rsidRDefault="005C3A12" w:rsidP="00562252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</w:t>
            </w:r>
            <w:r w:rsidR="00562252" w:rsidRPr="00EE0252">
              <w:rPr>
                <w:color w:val="000000"/>
                <w:sz w:val="28"/>
                <w:szCs w:val="28"/>
                <w:lang w:val="uk-UA" w:eastAsia="uk-UA"/>
              </w:rPr>
              <w:t>начальник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а</w:t>
            </w:r>
            <w:r w:rsidR="00562252" w:rsidRPr="00EE0252">
              <w:rPr>
                <w:color w:val="000000"/>
                <w:sz w:val="28"/>
                <w:szCs w:val="28"/>
                <w:lang w:val="uk-UA" w:eastAsia="uk-UA"/>
              </w:rPr>
              <w:t xml:space="preserve"> управління землеустрою</w:t>
            </w:r>
          </w:p>
          <w:p w14:paraId="02AEFDAC" w14:textId="77777777" w:rsidR="00562252" w:rsidRPr="00EE0252" w:rsidRDefault="00562252" w:rsidP="00562252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0252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0E4657A6" w14:textId="77777777" w:rsidR="00562252" w:rsidRPr="00EE0252" w:rsidRDefault="00562252" w:rsidP="00562252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0252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73A42DAA" w14:textId="3B9D3C92" w:rsidR="00562252" w:rsidRDefault="00562252" w:rsidP="00562252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EE0252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1A297F8A" w14:textId="77777777" w:rsidR="00562252" w:rsidRPr="005C3A12" w:rsidRDefault="00562252" w:rsidP="00562252">
            <w:pPr>
              <w:ind w:left="-105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50E8416" w14:textId="77777777" w:rsidR="00562252" w:rsidRPr="005C3A12" w:rsidRDefault="00562252" w:rsidP="00562252">
            <w:pPr>
              <w:ind w:left="-105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8EE073F" w14:textId="77777777" w:rsidR="00562252" w:rsidRPr="005C3A12" w:rsidRDefault="00562252" w:rsidP="00562252">
            <w:pPr>
              <w:ind w:left="-105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98F220" w14:textId="77777777" w:rsidR="00562252" w:rsidRPr="005C3A12" w:rsidRDefault="00562252" w:rsidP="00562252">
            <w:pPr>
              <w:ind w:left="-105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C78D25B" w14:textId="3E907566" w:rsidR="00562252" w:rsidRPr="005C3A12" w:rsidRDefault="005C3A12" w:rsidP="00562252">
            <w:pPr>
              <w:ind w:left="-105" w:right="-114"/>
              <w:jc w:val="right"/>
              <w:rPr>
                <w:b/>
                <w:snapToGrid w:val="0"/>
                <w:sz w:val="28"/>
                <w:szCs w:val="28"/>
                <w:lang w:val="uk-UA" w:eastAsia="en-US"/>
              </w:rPr>
            </w:pPr>
            <w:r w:rsidRPr="005C3A12">
              <w:rPr>
                <w:rStyle w:val="af0"/>
                <w:b w:val="0"/>
                <w:sz w:val="28"/>
                <w:szCs w:val="28"/>
              </w:rPr>
              <w:t>А</w:t>
            </w:r>
            <w:proofErr w:type="spellStart"/>
            <w:r w:rsidRPr="005C3A12">
              <w:rPr>
                <w:rStyle w:val="af0"/>
                <w:b w:val="0"/>
                <w:sz w:val="28"/>
                <w:szCs w:val="28"/>
                <w:lang w:val="uk-UA"/>
              </w:rPr>
              <w:t>нна</w:t>
            </w:r>
            <w:proofErr w:type="spellEnd"/>
            <w:r w:rsidRPr="005C3A12">
              <w:rPr>
                <w:rStyle w:val="af0"/>
                <w:b w:val="0"/>
                <w:sz w:val="28"/>
                <w:szCs w:val="28"/>
                <w:lang w:val="uk-UA"/>
              </w:rPr>
              <w:t xml:space="preserve"> МІЗІН</w:t>
            </w:r>
          </w:p>
        </w:tc>
      </w:tr>
      <w:tr w:rsidR="00752D4D" w14:paraId="160A9D94" w14:textId="77777777" w:rsidTr="001C3D70">
        <w:tc>
          <w:tcPr>
            <w:tcW w:w="6096" w:type="dxa"/>
          </w:tcPr>
          <w:p w14:paraId="0EAEF565" w14:textId="46FAEF30" w:rsidR="00752D4D" w:rsidRDefault="00752D4D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14:paraId="6908EA1F" w14:textId="3B7307B1" w:rsidR="00752D4D" w:rsidRDefault="00752D4D" w:rsidP="00752D4D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</w:tc>
      </w:tr>
      <w:tr w:rsidR="00752D4D" w14:paraId="7EF31E28" w14:textId="77777777" w:rsidTr="001C3D70">
        <w:tc>
          <w:tcPr>
            <w:tcW w:w="6096" w:type="dxa"/>
          </w:tcPr>
          <w:p w14:paraId="304BE2F9" w14:textId="3727163C" w:rsidR="00752D4D" w:rsidRDefault="00752D4D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14:paraId="6A4F4ABD" w14:textId="23B6CEC5" w:rsidR="00752D4D" w:rsidRPr="00562252" w:rsidRDefault="00752D4D" w:rsidP="00752D4D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2C048FCD" w14:textId="77777777" w:rsidR="00445EDC" w:rsidRPr="00445EDC" w:rsidRDefault="00445EDC" w:rsidP="00445EDC">
      <w:pPr>
        <w:rPr>
          <w:snapToGrid w:val="0"/>
          <w:sz w:val="26"/>
          <w:szCs w:val="26"/>
          <w:lang w:val="uk-UA"/>
        </w:rPr>
      </w:pPr>
      <w:r w:rsidRPr="00445EDC">
        <w:rPr>
          <w:snapToGrid w:val="0"/>
          <w:sz w:val="26"/>
          <w:szCs w:val="26"/>
          <w:lang w:val="uk-UA"/>
        </w:rPr>
        <w:t>В. о. начальника відділу орендних відносин</w:t>
      </w:r>
    </w:p>
    <w:p w14:paraId="460D6877" w14:textId="77777777" w:rsidR="00445EDC" w:rsidRPr="00445EDC" w:rsidRDefault="00445EDC" w:rsidP="00445EDC">
      <w:pPr>
        <w:rPr>
          <w:snapToGrid w:val="0"/>
          <w:sz w:val="26"/>
          <w:szCs w:val="26"/>
          <w:lang w:val="uk-UA"/>
        </w:rPr>
      </w:pPr>
      <w:r w:rsidRPr="00445EDC">
        <w:rPr>
          <w:snapToGrid w:val="0"/>
          <w:sz w:val="26"/>
          <w:szCs w:val="26"/>
          <w:lang w:val="uk-UA"/>
        </w:rPr>
        <w:t>управління ринку земель</w:t>
      </w:r>
    </w:p>
    <w:p w14:paraId="0B6D7187" w14:textId="77777777" w:rsidR="00445EDC" w:rsidRPr="00445EDC" w:rsidRDefault="00445EDC" w:rsidP="00445EDC">
      <w:pPr>
        <w:rPr>
          <w:snapToGrid w:val="0"/>
          <w:sz w:val="26"/>
          <w:szCs w:val="26"/>
          <w:lang w:val="uk-UA"/>
        </w:rPr>
      </w:pPr>
      <w:r w:rsidRPr="00445EDC">
        <w:rPr>
          <w:snapToGrid w:val="0"/>
          <w:sz w:val="26"/>
          <w:szCs w:val="26"/>
          <w:lang w:val="uk-UA"/>
        </w:rPr>
        <w:t>Департаменту земельних ресурсів</w:t>
      </w:r>
    </w:p>
    <w:p w14:paraId="00A908C9" w14:textId="77777777" w:rsidR="00445EDC" w:rsidRPr="00445EDC" w:rsidRDefault="00445EDC" w:rsidP="00445EDC">
      <w:pPr>
        <w:rPr>
          <w:snapToGrid w:val="0"/>
          <w:sz w:val="26"/>
          <w:szCs w:val="26"/>
          <w:lang w:val="uk-UA"/>
        </w:rPr>
      </w:pPr>
      <w:r w:rsidRPr="00445EDC">
        <w:rPr>
          <w:snapToGrid w:val="0"/>
          <w:sz w:val="26"/>
          <w:szCs w:val="26"/>
          <w:lang w:val="uk-UA"/>
        </w:rPr>
        <w:t>виконавчого органу Київської міської ради</w:t>
      </w:r>
    </w:p>
    <w:p w14:paraId="6DE23455" w14:textId="2F28FEC9" w:rsidR="00FF2729" w:rsidRDefault="00445EDC" w:rsidP="00445EDC">
      <w:pPr>
        <w:rPr>
          <w:snapToGrid w:val="0"/>
          <w:sz w:val="26"/>
          <w:szCs w:val="26"/>
          <w:lang w:val="uk-UA"/>
        </w:rPr>
      </w:pPr>
      <w:r w:rsidRPr="00445EDC">
        <w:rPr>
          <w:snapToGrid w:val="0"/>
          <w:sz w:val="26"/>
          <w:szCs w:val="26"/>
          <w:lang w:val="uk-UA"/>
        </w:rPr>
        <w:t>(Київської міської державної адміністрації)</w:t>
      </w:r>
      <w:r>
        <w:rPr>
          <w:snapToGrid w:val="0"/>
          <w:sz w:val="26"/>
          <w:szCs w:val="26"/>
          <w:lang w:val="uk-UA"/>
        </w:rPr>
        <w:t xml:space="preserve">                                                       </w:t>
      </w:r>
      <w:bookmarkStart w:id="0" w:name="_GoBack"/>
      <w:bookmarkEnd w:id="0"/>
      <w:r>
        <w:rPr>
          <w:snapToGrid w:val="0"/>
          <w:sz w:val="26"/>
          <w:szCs w:val="26"/>
          <w:lang w:val="uk-UA"/>
        </w:rPr>
        <w:t>Лілія ПОП</w:t>
      </w:r>
      <w:r w:rsidR="00CD44D5">
        <w:rPr>
          <w:snapToGrid w:val="0"/>
          <w:sz w:val="26"/>
          <w:szCs w:val="26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26CE97F" w14:textId="026E8190" w:rsidR="001057BA" w:rsidRDefault="005C3A12" w:rsidP="001057BA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</w:t>
            </w:r>
            <w:r w:rsidR="001057BA">
              <w:rPr>
                <w:color w:val="000000"/>
                <w:sz w:val="28"/>
                <w:szCs w:val="28"/>
                <w:lang w:val="uk-UA" w:eastAsia="uk-UA"/>
              </w:rPr>
              <w:t xml:space="preserve">аступник директора Департаменту – </w:t>
            </w:r>
          </w:p>
          <w:p w14:paraId="174678A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 xml:space="preserve">начальник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46098B36" w:rsidR="00034DE5" w:rsidRPr="005C3A12" w:rsidRDefault="0017536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Марія ДЕГТЯРЕНКО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56466AA" w:rsidR="00CE371C" w:rsidRPr="00E80871" w:rsidRDefault="0081746A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о.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 w:rsidRPr="00E80871">
              <w:rPr>
                <w:sz w:val="28"/>
                <w:szCs w:val="28"/>
                <w:lang w:val="uk-UA" w:eastAsia="en-US"/>
              </w:rPr>
              <w:t>а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 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4539"/>
    <w:rsid w:val="00065C2E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14E20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5365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06E6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03D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4B1E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5EDC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46328"/>
    <w:rsid w:val="005464B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3A12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B718D"/>
    <w:rsid w:val="007D308E"/>
    <w:rsid w:val="007E01E7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2A3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E03A44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B434A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iliya.pop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4237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Поп Лілія Володимирівна</cp:lastModifiedBy>
  <cp:revision>7</cp:revision>
  <cp:lastPrinted>2022-06-01T13:20:00Z</cp:lastPrinted>
  <dcterms:created xsi:type="dcterms:W3CDTF">2022-05-30T11:39:00Z</dcterms:created>
  <dcterms:modified xsi:type="dcterms:W3CDTF">2022-06-01T13:21:00Z</dcterms:modified>
</cp:coreProperties>
</file>