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634812739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634812739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2A77DE88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3A0E01F" w:rsidR="004F0681" w:rsidRPr="003774B2" w:rsidRDefault="00D76136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1FB620C6">
            <wp:simplePos x="0" y="0"/>
            <wp:positionH relativeFrom="column">
              <wp:posOffset>4604660</wp:posOffset>
            </wp:positionH>
            <wp:positionV relativeFrom="paragraph">
              <wp:posOffset>8074</wp:posOffset>
            </wp:positionV>
            <wp:extent cx="1211638" cy="1128155"/>
            <wp:effectExtent l="0" t="0" r="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7562A7">
        <w:rPr>
          <w:b/>
          <w:bCs/>
          <w:sz w:val="24"/>
          <w:szCs w:val="24"/>
          <w:lang w:val="ru-RU"/>
        </w:rPr>
        <w:t>ПЗН-64321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7562A7">
        <w:rPr>
          <w:b/>
          <w:bCs/>
          <w:sz w:val="24"/>
          <w:szCs w:val="24"/>
          <w:lang w:val="ru-RU"/>
        </w:rPr>
        <w:t>26.03.2024</w:t>
      </w:r>
    </w:p>
    <w:p w14:paraId="69271402" w14:textId="0E10B9B1" w:rsidR="004F0681" w:rsidRDefault="00604821" w:rsidP="003774B2">
      <w:pPr>
        <w:pStyle w:val="1"/>
        <w:shd w:val="clear" w:color="auto" w:fill="auto"/>
        <w:spacing w:after="0"/>
        <w:ind w:left="567" w:right="3481" w:firstLine="720"/>
        <w:rPr>
          <w:noProof/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2B0626A" w14:textId="77777777" w:rsidR="007562A7" w:rsidRPr="003774B2" w:rsidRDefault="007562A7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</w:p>
    <w:p w14:paraId="3D808EFA" w14:textId="3A2CC967" w:rsidR="00E17376" w:rsidRDefault="007562A7" w:rsidP="007562A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b/>
          <w:bCs/>
          <w:i/>
          <w:sz w:val="24"/>
          <w:szCs w:val="24"/>
        </w:rPr>
      </w:pPr>
      <w:r w:rsidRPr="007562A7">
        <w:rPr>
          <w:b/>
          <w:bCs/>
          <w:i/>
          <w:sz w:val="24"/>
          <w:szCs w:val="24"/>
        </w:rPr>
        <w:t>Про передачу громадянці Аксютіній Жанні Валеріївні у приватну власність земельної ділянки для будівництва і обслуговування житлового будинку, господарських будівель і споруд (присадибна ділянка) на вул. Ушицькій, 34  у Деснянському районі міста Києва</w:t>
      </w:r>
    </w:p>
    <w:p w14:paraId="63374171" w14:textId="77777777" w:rsidR="007562A7" w:rsidRPr="007562A7" w:rsidRDefault="007562A7" w:rsidP="007562A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i/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6226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Аксютіна Жанна Валеріївна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21.03.2024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634812739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8000000000:62:040:0006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0A44CA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0A44CA">
              <w:rPr>
                <w:b w:val="0"/>
                <w:i/>
                <w:sz w:val="24"/>
                <w:szCs w:val="24"/>
              </w:rPr>
              <w:t xml:space="preserve">вул. Ушицька, 34  у Деснянському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0A44CA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0A44CA">
              <w:rPr>
                <w:b w:val="0"/>
                <w:i/>
                <w:sz w:val="24"/>
                <w:szCs w:val="24"/>
              </w:rPr>
              <w:t>0,0740 га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2DA9EF06" w:rsidR="00E659C4" w:rsidRPr="000A44CA" w:rsidRDefault="00E659C4" w:rsidP="00EA27C8">
            <w:pPr>
              <w:pStyle w:val="a7"/>
              <w:jc w:val="both"/>
              <w:rPr>
                <w:b w:val="0"/>
                <w:sz w:val="24"/>
                <w:szCs w:val="24"/>
              </w:rPr>
            </w:pPr>
            <w:r w:rsidRPr="000A44CA">
              <w:rPr>
                <w:rStyle w:val="af"/>
                <w:b w:val="0"/>
                <w:sz w:val="24"/>
                <w:szCs w:val="24"/>
              </w:rPr>
              <w:t>власність</w:t>
            </w:r>
          </w:p>
        </w:tc>
      </w:tr>
      <w:tr w:rsidR="000F65D2" w14:paraId="46C9E57A" w14:textId="77777777" w:rsidTr="00EA27C8">
        <w:tc>
          <w:tcPr>
            <w:tcW w:w="3374" w:type="dxa"/>
          </w:tcPr>
          <w:p w14:paraId="3C2BFF9A" w14:textId="3AFC8CDC" w:rsidR="000F65D2" w:rsidRDefault="00644610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0F65D2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373" w:type="dxa"/>
          </w:tcPr>
          <w:p w14:paraId="7EF98E02" w14:textId="42702271" w:rsidR="000F65D2" w:rsidRPr="000A44CA" w:rsidRDefault="000A44CA" w:rsidP="00EA27C8">
            <w:pPr>
              <w:pStyle w:val="a7"/>
              <w:jc w:val="both"/>
              <w:rPr>
                <w:rStyle w:val="af"/>
                <w:b w:val="0"/>
                <w:i w:val="0"/>
                <w:sz w:val="24"/>
                <w:szCs w:val="24"/>
              </w:rPr>
            </w:pPr>
            <w:r w:rsidRPr="000A44CA"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E659C4" w14:paraId="31D36722" w14:textId="77777777" w:rsidTr="00EA27C8">
        <w:tc>
          <w:tcPr>
            <w:tcW w:w="3374" w:type="dxa"/>
          </w:tcPr>
          <w:p w14:paraId="58C1B7B7" w14:textId="1EC0451C" w:rsidR="00E659C4" w:rsidRDefault="00855E2F" w:rsidP="00171519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171519">
              <w:rPr>
                <w:b w:val="0"/>
                <w:i/>
                <w:sz w:val="24"/>
                <w:szCs w:val="24"/>
              </w:rPr>
              <w:t>Ц</w:t>
            </w:r>
            <w:r w:rsidR="000F65D2">
              <w:rPr>
                <w:b w:val="0"/>
                <w:i/>
                <w:sz w:val="24"/>
                <w:szCs w:val="24"/>
              </w:rPr>
              <w:t>ільове призначення</w:t>
            </w:r>
            <w:r w:rsidR="000F65D2" w:rsidRPr="003774B2">
              <w:rPr>
                <w:b w:val="0"/>
                <w:i/>
                <w:sz w:val="24"/>
                <w:szCs w:val="24"/>
              </w:rPr>
              <w:t xml:space="preserve">:                    </w:t>
            </w:r>
          </w:p>
        </w:tc>
        <w:tc>
          <w:tcPr>
            <w:tcW w:w="6373" w:type="dxa"/>
          </w:tcPr>
          <w:p w14:paraId="1AB1CB5D" w14:textId="21679E73" w:rsidR="00E659C4" w:rsidRPr="000A44CA" w:rsidRDefault="00171519" w:rsidP="00B05D68">
            <w:pPr>
              <w:pStyle w:val="a7"/>
              <w:shd w:val="clear" w:color="auto" w:fill="auto"/>
              <w:spacing w:line="240" w:lineRule="auto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02.01</w:t>
            </w:r>
            <w:r w:rsidR="000A44CA" w:rsidRPr="000A44C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Д</w:t>
            </w:r>
            <w:r w:rsidR="000A44CA" w:rsidRPr="000A44CA">
              <w:rPr>
                <w:b w:val="0"/>
                <w:i/>
                <w:sz w:val="24"/>
                <w:szCs w:val="24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 w:rsidRPr="00171519">
        <w:rPr>
          <w:b/>
          <w:bCs/>
          <w:sz w:val="24"/>
          <w:szCs w:val="24"/>
        </w:rPr>
        <w:t>.</w:t>
      </w:r>
    </w:p>
    <w:p w14:paraId="3BAD435B" w14:textId="77777777" w:rsidR="00260D50" w:rsidRDefault="00260D50" w:rsidP="00260D50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На замовлення зацікавленої особи землевпорядною організацією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землеустрою щодо відведення земельної ділянки, </w:t>
      </w:r>
      <w:r>
        <w:rPr>
          <w:sz w:val="24"/>
          <w:szCs w:val="24"/>
        </w:rPr>
        <w:t>на підставі якого та в</w:t>
      </w:r>
      <w:r w:rsidRPr="00DF2891">
        <w:rPr>
          <w:sz w:val="24"/>
          <w:szCs w:val="24"/>
        </w:rPr>
        <w:t>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sz w:val="24"/>
          <w:szCs w:val="24"/>
        </w:rPr>
        <w:t xml:space="preserve"> </w:t>
      </w:r>
      <w:r w:rsidRPr="00DF2891">
        <w:rPr>
          <w:sz w:val="24"/>
          <w:szCs w:val="24"/>
        </w:rPr>
        <w:t xml:space="preserve">від 20.04.2017 </w:t>
      </w:r>
      <w:r>
        <w:rPr>
          <w:sz w:val="24"/>
          <w:szCs w:val="24"/>
        </w:rPr>
        <w:t xml:space="preserve">                   </w:t>
      </w:r>
      <w:r w:rsidRPr="00DF2891">
        <w:rPr>
          <w:sz w:val="24"/>
          <w:szCs w:val="24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99" w:type="dxa"/>
        <w:tblInd w:w="-34" w:type="dxa"/>
        <w:tblLook w:val="04A0" w:firstRow="1" w:lastRow="0" w:firstColumn="1" w:lastColumn="0" w:noHBand="0" w:noVBand="1"/>
      </w:tblPr>
      <w:tblGrid>
        <w:gridCol w:w="3462"/>
        <w:gridCol w:w="6437"/>
      </w:tblGrid>
      <w:tr w:rsidR="00E12AC0" w:rsidRPr="003774B2" w14:paraId="4A887E4C" w14:textId="77777777" w:rsidTr="00EA27C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437" w:type="dxa"/>
          </w:tcPr>
          <w:p w14:paraId="687E2619" w14:textId="33B4DC1B" w:rsidR="00E12AC0" w:rsidRPr="00DA4FC8" w:rsidRDefault="00777E8E" w:rsidP="00676DB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 w:rsidRPr="00DA4FC8">
              <w:rPr>
                <w:i/>
                <w:color w:val="auto"/>
                <w:sz w:val="24"/>
                <w:szCs w:val="24"/>
              </w:rPr>
              <w:t>Земельна ділянка забудована житлови</w:t>
            </w:r>
            <w:r w:rsidR="00676DBC">
              <w:rPr>
                <w:i/>
                <w:color w:val="auto"/>
                <w:sz w:val="24"/>
                <w:szCs w:val="24"/>
              </w:rPr>
              <w:t>м</w:t>
            </w:r>
            <w:r w:rsidRPr="00DA4FC8">
              <w:rPr>
                <w:i/>
                <w:color w:val="auto"/>
                <w:sz w:val="24"/>
                <w:szCs w:val="24"/>
              </w:rPr>
              <w:t xml:space="preserve"> будин</w:t>
            </w:r>
            <w:r w:rsidR="00676DBC">
              <w:rPr>
                <w:i/>
                <w:color w:val="auto"/>
                <w:sz w:val="24"/>
                <w:szCs w:val="24"/>
              </w:rPr>
              <w:t>ком</w:t>
            </w:r>
            <w:r w:rsidRPr="00DA4FC8">
              <w:rPr>
                <w:i/>
                <w:color w:val="auto"/>
                <w:sz w:val="24"/>
                <w:szCs w:val="24"/>
              </w:rPr>
              <w:t xml:space="preserve"> загальною площею 85,6 кв. м, що перебуває у</w:t>
            </w:r>
            <w:r w:rsidR="00676DBC">
              <w:rPr>
                <w:i/>
                <w:color w:val="auto"/>
                <w:sz w:val="24"/>
                <w:szCs w:val="24"/>
              </w:rPr>
              <w:t xml:space="preserve"> приватній </w:t>
            </w:r>
            <w:r w:rsidRPr="00DA4FC8">
              <w:rPr>
                <w:i/>
                <w:color w:val="auto"/>
                <w:sz w:val="24"/>
                <w:szCs w:val="24"/>
              </w:rPr>
              <w:t xml:space="preserve"> власності </w:t>
            </w:r>
            <w:r w:rsidR="0082762D" w:rsidRPr="00DA4FC8">
              <w:rPr>
                <w:i/>
                <w:color w:val="auto"/>
                <w:sz w:val="24"/>
                <w:szCs w:val="24"/>
              </w:rPr>
              <w:t xml:space="preserve">Аксютіної Ж. В. </w:t>
            </w:r>
            <w:r w:rsidRPr="00DA4FC8">
              <w:rPr>
                <w:i/>
                <w:color w:val="auto"/>
                <w:sz w:val="24"/>
                <w:szCs w:val="24"/>
              </w:rPr>
              <w:t xml:space="preserve">на підставі договору дарування від 06.10.2010 № 10-1417 (інформація з Державного реєстру речових прав на нерухоме майно про реєстрацію права власності від </w:t>
            </w:r>
            <w:r w:rsidR="0082762D" w:rsidRPr="00DA4FC8">
              <w:rPr>
                <w:i/>
                <w:color w:val="auto"/>
                <w:sz w:val="24"/>
                <w:szCs w:val="24"/>
              </w:rPr>
              <w:t>26</w:t>
            </w:r>
            <w:r w:rsidRPr="00DA4FC8">
              <w:rPr>
                <w:i/>
                <w:color w:val="auto"/>
                <w:sz w:val="24"/>
                <w:szCs w:val="24"/>
              </w:rPr>
              <w:t>.0</w:t>
            </w:r>
            <w:r w:rsidR="0082762D" w:rsidRPr="00DA4FC8">
              <w:rPr>
                <w:i/>
                <w:color w:val="auto"/>
                <w:sz w:val="24"/>
                <w:szCs w:val="24"/>
              </w:rPr>
              <w:t>3</w:t>
            </w:r>
            <w:r w:rsidRPr="00DA4FC8">
              <w:rPr>
                <w:i/>
                <w:color w:val="auto"/>
                <w:sz w:val="24"/>
                <w:szCs w:val="24"/>
              </w:rPr>
              <w:t xml:space="preserve">.2024 № </w:t>
            </w:r>
            <w:r w:rsidR="0082762D" w:rsidRPr="00DA4FC8">
              <w:rPr>
                <w:i/>
                <w:color w:val="auto"/>
                <w:sz w:val="24"/>
                <w:szCs w:val="24"/>
              </w:rPr>
              <w:t>371363563</w:t>
            </w:r>
            <w:r w:rsidRPr="00DA4FC8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F6212A">
        <w:trPr>
          <w:cantSplit/>
          <w:trHeight w:val="755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437" w:type="dxa"/>
          </w:tcPr>
          <w:p w14:paraId="5ACEA60E" w14:textId="7F021227" w:rsidR="00E12AC0" w:rsidRPr="00DA4FC8" w:rsidRDefault="00F6212A" w:rsidP="009D41C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Д</w:t>
            </w:r>
            <w:r w:rsidR="00DC5E5F" w:rsidRPr="00DA4FC8">
              <w:rPr>
                <w:i/>
                <w:color w:val="auto"/>
                <w:sz w:val="24"/>
                <w:szCs w:val="24"/>
              </w:rPr>
              <w:t>етальн</w:t>
            </w:r>
            <w:r>
              <w:rPr>
                <w:i/>
                <w:color w:val="auto"/>
                <w:sz w:val="24"/>
                <w:szCs w:val="24"/>
              </w:rPr>
              <w:t xml:space="preserve">ий </w:t>
            </w:r>
            <w:r w:rsidR="00DD00DD">
              <w:rPr>
                <w:i/>
                <w:color w:val="auto"/>
                <w:sz w:val="24"/>
                <w:szCs w:val="24"/>
              </w:rPr>
              <w:t xml:space="preserve">план території селища Биківня </w:t>
            </w:r>
            <w:r w:rsidR="00DC5E5F" w:rsidRPr="00DA4FC8">
              <w:rPr>
                <w:i/>
                <w:color w:val="auto"/>
                <w:sz w:val="24"/>
                <w:szCs w:val="24"/>
              </w:rPr>
              <w:t>затверджено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="00145833">
              <w:rPr>
                <w:i/>
                <w:color w:val="auto"/>
                <w:sz w:val="24"/>
                <w:szCs w:val="24"/>
              </w:rPr>
              <w:t xml:space="preserve">рішенням Київської міської ради </w:t>
            </w:r>
            <w:r>
              <w:rPr>
                <w:i/>
                <w:color w:val="auto"/>
                <w:sz w:val="24"/>
                <w:szCs w:val="24"/>
              </w:rPr>
              <w:t>від 14.04.2016 № 330/330.</w:t>
            </w:r>
          </w:p>
        </w:tc>
      </w:tr>
      <w:tr w:rsidR="00E12AC0" w:rsidRPr="003774B2" w14:paraId="53F755AF" w14:textId="77777777" w:rsidTr="00EA27C8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FC5F06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37" w:type="dxa"/>
          </w:tcPr>
          <w:p w14:paraId="14888231" w14:textId="563641A2" w:rsidR="00E12AC0" w:rsidRPr="00E12AC0" w:rsidRDefault="00DC5E5F" w:rsidP="00F6212A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245B5">
              <w:rPr>
                <w:i/>
                <w:color w:val="auto"/>
                <w:sz w:val="24"/>
                <w:szCs w:val="24"/>
              </w:rPr>
              <w:t xml:space="preserve">Відповідно до Генерального плану міста Києва та проєкту планування його приміської зони на період до 2020 року, затвердженого рішенням Київської міської ради </w:t>
            </w:r>
            <w:r>
              <w:rPr>
                <w:i/>
                <w:color w:val="auto"/>
                <w:sz w:val="24"/>
                <w:szCs w:val="24"/>
              </w:rPr>
              <w:t xml:space="preserve">                     </w:t>
            </w:r>
            <w:r w:rsidRPr="00D245B5">
              <w:rPr>
                <w:i/>
                <w:color w:val="auto"/>
                <w:sz w:val="24"/>
                <w:szCs w:val="24"/>
              </w:rPr>
              <w:t>від 28.03.2002 № 370/1804, земельна ділянка за функціональним призначенням належить до території житлової садибної забудови</w:t>
            </w:r>
            <w:r w:rsidR="009954F1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D245B5">
              <w:rPr>
                <w:i/>
                <w:color w:val="auto"/>
                <w:sz w:val="24"/>
                <w:szCs w:val="24"/>
              </w:rPr>
              <w:t>(</w:t>
            </w:r>
            <w:r w:rsidR="00F60033">
              <w:rPr>
                <w:i/>
                <w:color w:val="auto"/>
                <w:sz w:val="24"/>
                <w:szCs w:val="24"/>
              </w:rPr>
              <w:t>існуючі</w:t>
            </w:r>
            <w:r w:rsidRPr="00D245B5">
              <w:rPr>
                <w:i/>
                <w:color w:val="auto"/>
                <w:sz w:val="24"/>
                <w:szCs w:val="24"/>
              </w:rPr>
              <w:t>)</w:t>
            </w:r>
            <w:r w:rsidR="00F6212A">
              <w:rPr>
                <w:i/>
                <w:color w:val="auto"/>
                <w:sz w:val="24"/>
                <w:szCs w:val="24"/>
              </w:rPr>
              <w:t xml:space="preserve"> </w:t>
            </w:r>
            <w:r w:rsidR="00F6212A" w:rsidRPr="00DA4FC8">
              <w:rPr>
                <w:i/>
                <w:snapToGrid w:val="0"/>
                <w:color w:val="auto"/>
                <w:sz w:val="24"/>
                <w:szCs w:val="24"/>
              </w:rPr>
              <w:t>(довідка (витяг) з містобудівного кадастру від 28.09.2023 № 2954/0/012/12-03-23).</w:t>
            </w:r>
          </w:p>
        </w:tc>
      </w:tr>
      <w:tr w:rsidR="00765699" w:rsidRPr="003774B2" w14:paraId="67EEAA64" w14:textId="77777777" w:rsidTr="00EA27C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437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EA27C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437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EA27C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437" w:type="dxa"/>
          </w:tcPr>
          <w:p w14:paraId="117975B2" w14:textId="77777777" w:rsidR="008B26FA" w:rsidRPr="00466BF6" w:rsidRDefault="008B26FA" w:rsidP="008B26FA">
            <w:pPr>
              <w:pStyle w:val="af3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466BF6">
              <w:rPr>
                <w:i/>
                <w:iCs/>
                <w:bdr w:val="none" w:sz="0" w:space="0" w:color="auto" w:frame="1"/>
                <w:lang w:val="uk-UA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передачу у власність земельної ділянки або про відмову у її </w:t>
            </w:r>
            <w:r>
              <w:rPr>
                <w:i/>
                <w:iCs/>
                <w:bdr w:val="none" w:sz="0" w:space="0" w:color="auto" w:frame="1"/>
                <w:lang w:val="uk-UA"/>
              </w:rPr>
              <w:t>передач</w:t>
            </w:r>
            <w:r w:rsidRPr="00466BF6">
              <w:rPr>
                <w:i/>
                <w:iCs/>
                <w:bdr w:val="none" w:sz="0" w:space="0" w:color="auto" w:frame="1"/>
                <w:lang w:val="uk-UA"/>
              </w:rPr>
              <w:t>і,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7BA4E39C" w14:textId="77777777" w:rsidR="008B26FA" w:rsidRPr="00466BF6" w:rsidRDefault="008B26FA" w:rsidP="008B26FA">
            <w:pPr>
              <w:pStyle w:val="af3"/>
              <w:spacing w:before="0" w:beforeAutospacing="0" w:after="0" w:afterAutospacing="0"/>
              <w:jc w:val="both"/>
              <w:rPr>
                <w:i/>
              </w:rPr>
            </w:pPr>
            <w:r w:rsidRPr="00466BF6">
              <w:rPr>
                <w:i/>
                <w:iCs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            від 17.04.2018 у справі № 826/8107/16, від 16.09.2021 у справі № 826/8847/16. </w:t>
            </w:r>
          </w:p>
          <w:p w14:paraId="6528D3CD" w14:textId="7FBCCF7B" w:rsidR="00812178" w:rsidRPr="003774B2" w:rsidRDefault="008B26FA" w:rsidP="008B26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66BF6">
              <w:rPr>
                <w:rFonts w:ascii="Times New Roman" w:hAnsi="Times New Roman" w:cs="Times New Roman"/>
                <w:i/>
                <w:iCs/>
                <w:color w:val="auto"/>
                <w:bdr w:val="none" w:sz="0" w:space="0" w:color="auto" w:frame="1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17A27A8" w14:textId="77777777" w:rsidR="00AD41DA" w:rsidRPr="00126036" w:rsidRDefault="00AD41DA" w:rsidP="00AD41DA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26036">
        <w:rPr>
          <w:color w:val="auto"/>
          <w:sz w:val="24"/>
          <w:szCs w:val="24"/>
        </w:rPr>
        <w:t>Загальні засади та порядок передач</w:t>
      </w:r>
      <w:r>
        <w:rPr>
          <w:color w:val="auto"/>
          <w:sz w:val="24"/>
          <w:szCs w:val="24"/>
        </w:rPr>
        <w:t xml:space="preserve">і земельних ділянок у власність </w:t>
      </w:r>
      <w:r w:rsidRPr="00126036">
        <w:rPr>
          <w:color w:val="auto"/>
          <w:sz w:val="24"/>
          <w:szCs w:val="24"/>
        </w:rPr>
        <w:t xml:space="preserve">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>
        <w:rPr>
          <w:color w:val="auto"/>
          <w:sz w:val="24"/>
          <w:szCs w:val="24"/>
        </w:rPr>
        <w:t xml:space="preserve">               </w:t>
      </w:r>
      <w:r w:rsidRPr="00126036">
        <w:rPr>
          <w:color w:val="auto"/>
          <w:sz w:val="24"/>
          <w:szCs w:val="24"/>
        </w:rPr>
        <w:t>від 20.04.2017 № 241/2463.</w:t>
      </w:r>
    </w:p>
    <w:p w14:paraId="06502596" w14:textId="77777777" w:rsidR="00AD41DA" w:rsidRPr="00126036" w:rsidRDefault="00AD41DA" w:rsidP="00AD41DA">
      <w:pPr>
        <w:ind w:firstLine="420"/>
        <w:jc w:val="both"/>
        <w:rPr>
          <w:rFonts w:ascii="Times New Roman" w:hAnsi="Times New Roman" w:cs="Times New Roman"/>
          <w:color w:val="auto"/>
        </w:rPr>
      </w:pPr>
      <w:r w:rsidRPr="00126036">
        <w:rPr>
          <w:rFonts w:ascii="Times New Roman" w:hAnsi="Times New Roman" w:cs="Times New Roman"/>
          <w:color w:val="auto"/>
          <w:shd w:val="clear" w:color="auto" w:fill="FFFFFF"/>
        </w:rPr>
        <w:t>Проєкт рішення містить інформацію про заявника, що відноситься до інформації з обмеженим доступом в розумінні статті 6 Закону України «Про доступ до публічної інформації».</w:t>
      </w:r>
    </w:p>
    <w:p w14:paraId="4BBE9EE5" w14:textId="77777777" w:rsidR="00AD41DA" w:rsidRPr="00126036" w:rsidRDefault="00AD41DA" w:rsidP="00AD41DA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126036">
        <w:rPr>
          <w:color w:val="auto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AE281E5" w14:textId="77777777" w:rsidR="00AD41DA" w:rsidRPr="00DF2891" w:rsidRDefault="00AD41DA" w:rsidP="00AD41DA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15CCC865" w14:textId="77777777" w:rsidR="001466A8" w:rsidRDefault="001466A8" w:rsidP="001466A8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Наслідками прийняття розробленого проєкту рішення стане реалізація громадянкою своїх прав на оформлення земельної ділянки, яка перебуває у її користуванні.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7562A7">
        <w:rPr>
          <w:bCs/>
          <w:sz w:val="20"/>
          <w:szCs w:val="20"/>
          <w:lang w:val="ru-RU"/>
        </w:rPr>
        <w:t>Валентина ПЕЛИХ</w:t>
      </w: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E22FAA">
        <w:trPr>
          <w:trHeight w:val="573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9"/>
      <w:footerReference w:type="default" r:id="rId10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212F" w14:textId="5844BE91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7562A7">
      <w:rPr>
        <w:sz w:val="12"/>
        <w:szCs w:val="12"/>
        <w:lang w:val="ru-RU"/>
      </w:rPr>
      <w:t>ПЗН-64321</w:t>
    </w:r>
    <w:r w:rsidR="00862990">
      <w:rPr>
        <w:sz w:val="12"/>
        <w:szCs w:val="12"/>
      </w:rPr>
      <w:t xml:space="preserve"> від </w:t>
    </w:r>
    <w:r w:rsidR="00B2667F" w:rsidRPr="007562A7">
      <w:rPr>
        <w:sz w:val="12"/>
        <w:szCs w:val="12"/>
        <w:lang w:val="ru-RU"/>
      </w:rPr>
      <w:t>26.03.2024</w:t>
    </w:r>
    <w:r w:rsidR="00862990">
      <w:rPr>
        <w:sz w:val="12"/>
        <w:szCs w:val="12"/>
      </w:rPr>
      <w:t xml:space="preserve"> до клопотання 634812739</w:t>
    </w:r>
  </w:p>
  <w:p w14:paraId="2E60DAB9" w14:textId="3A85FA49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76DBC" w:rsidRPr="00676DB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9156150">
    <w:abstractNumId w:val="2"/>
  </w:num>
  <w:num w:numId="2" w16cid:durableId="1762487689">
    <w:abstractNumId w:val="0"/>
  </w:num>
  <w:num w:numId="3" w16cid:durableId="119592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1"/>
    <w:rsid w:val="00022532"/>
    <w:rsid w:val="0003440E"/>
    <w:rsid w:val="00045902"/>
    <w:rsid w:val="000857DE"/>
    <w:rsid w:val="00091CF3"/>
    <w:rsid w:val="00092818"/>
    <w:rsid w:val="00093CE8"/>
    <w:rsid w:val="00096F55"/>
    <w:rsid w:val="000A44CA"/>
    <w:rsid w:val="000B50FC"/>
    <w:rsid w:val="000D25A2"/>
    <w:rsid w:val="000D4A8B"/>
    <w:rsid w:val="000D5380"/>
    <w:rsid w:val="000E1699"/>
    <w:rsid w:val="000F1896"/>
    <w:rsid w:val="000F65D2"/>
    <w:rsid w:val="00103606"/>
    <w:rsid w:val="00110C03"/>
    <w:rsid w:val="00114807"/>
    <w:rsid w:val="00143284"/>
    <w:rsid w:val="0014558C"/>
    <w:rsid w:val="00145833"/>
    <w:rsid w:val="001466A8"/>
    <w:rsid w:val="00150588"/>
    <w:rsid w:val="001506C9"/>
    <w:rsid w:val="00155A66"/>
    <w:rsid w:val="00166900"/>
    <w:rsid w:val="00171519"/>
    <w:rsid w:val="00190082"/>
    <w:rsid w:val="00193E39"/>
    <w:rsid w:val="001B79D6"/>
    <w:rsid w:val="001E04D2"/>
    <w:rsid w:val="00202D59"/>
    <w:rsid w:val="00210F1C"/>
    <w:rsid w:val="00217DBB"/>
    <w:rsid w:val="00224F4D"/>
    <w:rsid w:val="002256EF"/>
    <w:rsid w:val="00232D6B"/>
    <w:rsid w:val="002438BA"/>
    <w:rsid w:val="00260D50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A7E85"/>
    <w:rsid w:val="003B0ED1"/>
    <w:rsid w:val="003C17B4"/>
    <w:rsid w:val="003F08A4"/>
    <w:rsid w:val="003F796B"/>
    <w:rsid w:val="0041371A"/>
    <w:rsid w:val="004223BA"/>
    <w:rsid w:val="004313C0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5D63A6"/>
    <w:rsid w:val="006006CF"/>
    <w:rsid w:val="00604821"/>
    <w:rsid w:val="00615185"/>
    <w:rsid w:val="006212E0"/>
    <w:rsid w:val="00632173"/>
    <w:rsid w:val="006401F6"/>
    <w:rsid w:val="00644610"/>
    <w:rsid w:val="0064781D"/>
    <w:rsid w:val="00676DBC"/>
    <w:rsid w:val="00680943"/>
    <w:rsid w:val="00682BA2"/>
    <w:rsid w:val="00687415"/>
    <w:rsid w:val="006903E8"/>
    <w:rsid w:val="006A0D5A"/>
    <w:rsid w:val="006A3391"/>
    <w:rsid w:val="006A43A2"/>
    <w:rsid w:val="006D0CA1"/>
    <w:rsid w:val="006D0D25"/>
    <w:rsid w:val="006D1B11"/>
    <w:rsid w:val="006E02F0"/>
    <w:rsid w:val="006F5153"/>
    <w:rsid w:val="00707471"/>
    <w:rsid w:val="00720C46"/>
    <w:rsid w:val="00725E0A"/>
    <w:rsid w:val="007268EC"/>
    <w:rsid w:val="00731DC2"/>
    <w:rsid w:val="007355C9"/>
    <w:rsid w:val="00740A13"/>
    <w:rsid w:val="00745F89"/>
    <w:rsid w:val="0075609F"/>
    <w:rsid w:val="007562A7"/>
    <w:rsid w:val="00765699"/>
    <w:rsid w:val="00765ED6"/>
    <w:rsid w:val="00777E8E"/>
    <w:rsid w:val="007829D5"/>
    <w:rsid w:val="007A3E8C"/>
    <w:rsid w:val="007B7541"/>
    <w:rsid w:val="007C2840"/>
    <w:rsid w:val="007C52B7"/>
    <w:rsid w:val="007D3720"/>
    <w:rsid w:val="007E1192"/>
    <w:rsid w:val="007E2544"/>
    <w:rsid w:val="00804CC5"/>
    <w:rsid w:val="0081082C"/>
    <w:rsid w:val="00812178"/>
    <w:rsid w:val="0081493A"/>
    <w:rsid w:val="0082762D"/>
    <w:rsid w:val="00830DB0"/>
    <w:rsid w:val="008325B8"/>
    <w:rsid w:val="00833BDF"/>
    <w:rsid w:val="008540A6"/>
    <w:rsid w:val="00855E2F"/>
    <w:rsid w:val="00862990"/>
    <w:rsid w:val="008669DB"/>
    <w:rsid w:val="00880D60"/>
    <w:rsid w:val="00882B70"/>
    <w:rsid w:val="008A1CBE"/>
    <w:rsid w:val="008A6D46"/>
    <w:rsid w:val="008A79BC"/>
    <w:rsid w:val="008B065F"/>
    <w:rsid w:val="008B26FA"/>
    <w:rsid w:val="008F6A51"/>
    <w:rsid w:val="009078AA"/>
    <w:rsid w:val="009253F7"/>
    <w:rsid w:val="00976EF9"/>
    <w:rsid w:val="009954F1"/>
    <w:rsid w:val="009B470E"/>
    <w:rsid w:val="009C124D"/>
    <w:rsid w:val="009C7FC5"/>
    <w:rsid w:val="009D41C7"/>
    <w:rsid w:val="009F5A7E"/>
    <w:rsid w:val="009F6376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41DA"/>
    <w:rsid w:val="00AD6BDF"/>
    <w:rsid w:val="00AF38B3"/>
    <w:rsid w:val="00B00686"/>
    <w:rsid w:val="00B05D68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C2381"/>
    <w:rsid w:val="00BC7FB3"/>
    <w:rsid w:val="00BD279E"/>
    <w:rsid w:val="00BD4A71"/>
    <w:rsid w:val="00BE5396"/>
    <w:rsid w:val="00BE76CE"/>
    <w:rsid w:val="00BF2A8C"/>
    <w:rsid w:val="00C2624F"/>
    <w:rsid w:val="00C765BA"/>
    <w:rsid w:val="00C84EDA"/>
    <w:rsid w:val="00C858E5"/>
    <w:rsid w:val="00C94207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24A7"/>
    <w:rsid w:val="00D35106"/>
    <w:rsid w:val="00D40C56"/>
    <w:rsid w:val="00D453B9"/>
    <w:rsid w:val="00D52C22"/>
    <w:rsid w:val="00D76136"/>
    <w:rsid w:val="00DA21AC"/>
    <w:rsid w:val="00DA4FC8"/>
    <w:rsid w:val="00DB1C69"/>
    <w:rsid w:val="00DC5E5F"/>
    <w:rsid w:val="00DC6EFC"/>
    <w:rsid w:val="00DD00DD"/>
    <w:rsid w:val="00DE1AEF"/>
    <w:rsid w:val="00DE6903"/>
    <w:rsid w:val="00E06799"/>
    <w:rsid w:val="00E12AC0"/>
    <w:rsid w:val="00E17376"/>
    <w:rsid w:val="00E21576"/>
    <w:rsid w:val="00E22FAA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55524"/>
    <w:rsid w:val="00F60033"/>
    <w:rsid w:val="00F6212A"/>
    <w:rsid w:val="00F64C5F"/>
    <w:rsid w:val="00F66157"/>
    <w:rsid w:val="00F76EA8"/>
    <w:rsid w:val="00F8168C"/>
    <w:rsid w:val="00F905E6"/>
    <w:rsid w:val="00FA2446"/>
    <w:rsid w:val="00FA5B16"/>
    <w:rsid w:val="00FB334A"/>
    <w:rsid w:val="00FC5F06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8B26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olesya.kornijchuk\Downloads\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3012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4721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Корнійчук Олеся Михайлівна</cp:lastModifiedBy>
  <cp:revision>2</cp:revision>
  <cp:lastPrinted>2024-04-01T12:23:00Z</cp:lastPrinted>
  <dcterms:created xsi:type="dcterms:W3CDTF">2024-04-12T08:32:00Z</dcterms:created>
  <dcterms:modified xsi:type="dcterms:W3CDTF">2024-04-12T08:32:00Z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2024-04-12T08:32:30Z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0de70399-d127-457b-9f57-8a46bdb681a1</vt:lpwstr>
  </property>
  <property fmtid="{D5CDD505-2E9C-101B-9397-08002B2CF9AE}" pid="8" name="MSIP_Label_defa4170-0d19-0005-0004-bc88714345d2_ContentBits">
    <vt:lpwstr>0</vt:lpwstr>
  </property>
</Properties>
</file>