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D00A" w14:textId="77777777" w:rsidR="00AB6376" w:rsidRPr="00552E93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634914127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634914127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2E93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552E93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3060FE0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E93">
        <w:rPr>
          <w:b/>
          <w:bCs/>
          <w:i w:val="0"/>
          <w:iCs w:val="0"/>
          <w:sz w:val="24"/>
          <w:szCs w:val="24"/>
          <w:lang w:val="ru-RU"/>
        </w:rPr>
        <w:t xml:space="preserve">№ ПЗН-63043 від </w:t>
      </w:r>
      <w:r w:rsidRPr="00552E93">
        <w:rPr>
          <w:b/>
          <w:bCs/>
          <w:i w:val="0"/>
          <w:sz w:val="24"/>
          <w:szCs w:val="24"/>
          <w:lang w:val="ru-RU"/>
        </w:rPr>
        <w:t>01.03.2024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4E5DA945" w14:textId="77777777" w:rsidR="00552E93" w:rsidRDefault="00AB6376" w:rsidP="00552E93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52E93" w:rsidRPr="00552E93">
        <w:rPr>
          <w:b/>
          <w:i/>
          <w:color w:val="000000" w:themeColor="text1"/>
          <w:sz w:val="24"/>
          <w:szCs w:val="24"/>
          <w:lang w:val="ru-RU"/>
        </w:rPr>
        <w:t>передачу ПРИВАТНОМУ ПІДПРИЄМСТВУ «ПАЛАТА» земельної ділянки в</w:t>
      </w:r>
      <w:r w:rsidR="00552E93" w:rsidRPr="00552E93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52E93" w:rsidRPr="00552E93">
        <w:rPr>
          <w:rStyle w:val="ac"/>
          <w:b/>
          <w:color w:val="000000" w:themeColor="text1"/>
          <w:sz w:val="24"/>
          <w:szCs w:val="24"/>
          <w:lang w:val="ru-RU"/>
        </w:rPr>
        <w:t>оренд</w:t>
      </w:r>
      <w:r w:rsidR="00552E93" w:rsidRPr="00552E93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у </w:t>
      </w:r>
      <w:r w:rsidR="00552E93" w:rsidRPr="00552E93">
        <w:rPr>
          <w:rStyle w:val="ac"/>
          <w:b/>
          <w:color w:val="000000" w:themeColor="text1"/>
          <w:sz w:val="24"/>
          <w:szCs w:val="24"/>
          <w:lang w:val="uk-UA"/>
        </w:rPr>
        <w:t>для експлуатації та обслуговування нежитлової будівлі</w:t>
      </w:r>
      <w:r w:rsidR="00552E93" w:rsidRPr="00552E93">
        <w:rPr>
          <w:b/>
          <w:iCs/>
          <w:color w:val="000000" w:themeColor="text1"/>
          <w:sz w:val="24"/>
          <w:szCs w:val="24"/>
          <w:lang w:val="ru-RU"/>
        </w:rPr>
        <w:t xml:space="preserve"> </w:t>
      </w:r>
      <w:r w:rsidR="00552E93" w:rsidRPr="00552E93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552E93" w:rsidRPr="00552E93">
        <w:rPr>
          <w:b/>
          <w:i/>
          <w:iCs/>
          <w:color w:val="000000" w:themeColor="text1"/>
          <w:sz w:val="24"/>
          <w:szCs w:val="24"/>
          <w:lang w:val="ru-RU"/>
        </w:rPr>
        <w:t xml:space="preserve">просп. </w:t>
      </w:r>
      <w:r w:rsidR="00552E93" w:rsidRPr="00552E93">
        <w:rPr>
          <w:b/>
          <w:i/>
          <w:iCs/>
          <w:color w:val="000000" w:themeColor="text1"/>
          <w:sz w:val="24"/>
          <w:szCs w:val="24"/>
        </w:rPr>
        <w:t xml:space="preserve">Червоної </w:t>
      </w:r>
    </w:p>
    <w:p w14:paraId="3886A438" w14:textId="1293E24F" w:rsidR="00AB6376" w:rsidRPr="00552E93" w:rsidRDefault="00552E93" w:rsidP="00552E93">
      <w:pPr>
        <w:pStyle w:val="a4"/>
        <w:shd w:val="clear" w:color="auto" w:fill="auto"/>
        <w:spacing w:line="266" w:lineRule="auto"/>
        <w:ind w:right="2739"/>
        <w:jc w:val="center"/>
        <w:rPr>
          <w:b/>
          <w:color w:val="000000" w:themeColor="text1"/>
          <w:sz w:val="24"/>
          <w:szCs w:val="24"/>
          <w:lang w:val="ru-RU"/>
        </w:rPr>
      </w:pPr>
      <w:r w:rsidRPr="00552E93">
        <w:rPr>
          <w:b/>
          <w:i/>
          <w:iCs/>
          <w:color w:val="000000" w:themeColor="text1"/>
          <w:sz w:val="24"/>
          <w:szCs w:val="24"/>
          <w:lang w:val="ru-RU"/>
        </w:rPr>
        <w:t xml:space="preserve">Калини, 26 </w:t>
      </w:r>
      <w:r w:rsidRPr="00552E93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Pr="00552E93">
        <w:rPr>
          <w:b/>
          <w:i/>
          <w:iCs/>
          <w:color w:val="000000" w:themeColor="text1"/>
          <w:sz w:val="24"/>
          <w:szCs w:val="24"/>
          <w:lang w:val="ru-RU"/>
        </w:rPr>
        <w:t>Деснянському</w:t>
      </w:r>
      <w:r w:rsidRPr="00552E93">
        <w:rPr>
          <w:b/>
          <w:i/>
          <w:color w:val="000000" w:themeColor="text1"/>
          <w:sz w:val="24"/>
          <w:szCs w:val="24"/>
          <w:lang w:val="ru-RU"/>
        </w:rPr>
        <w:t xml:space="preserve"> районі міста Києва</w:t>
      </w:r>
    </w:p>
    <w:p w14:paraId="590F7542" w14:textId="77777777" w:rsidR="00552E93" w:rsidRPr="00433810" w:rsidRDefault="00552E93" w:rsidP="00552E93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0D73C7">
        <w:trPr>
          <w:cantSplit/>
          <w:trHeight w:val="339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ПРИВАТНЕ ПІДПРИЄМСТВО «ПАЛАТА»</w:t>
            </w:r>
          </w:p>
        </w:tc>
      </w:tr>
      <w:tr w:rsidR="00AB6376" w:rsidRPr="00CF2418" w14:paraId="095E8B0B" w14:textId="77777777" w:rsidTr="00D433F0">
        <w:trPr>
          <w:cantSplit/>
          <w:trHeight w:val="713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FBD069B" w14:textId="2A151254" w:rsidR="00AB6376" w:rsidRPr="00B30291" w:rsidRDefault="00FB5D25" w:rsidP="00552E9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55944D11" w14:textId="77777777" w:rsidR="00AB6376" w:rsidRPr="008C72BB" w:rsidRDefault="008C72BB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C72BB">
              <w:rPr>
                <w:b w:val="0"/>
                <w:i/>
                <w:sz w:val="24"/>
                <w:szCs w:val="24"/>
                <w:lang w:val="ru-RU"/>
              </w:rPr>
              <w:t>Паламар Віра Анатоліївна</w:t>
            </w:r>
          </w:p>
          <w:p w14:paraId="71B35F5E" w14:textId="6EF50BB4" w:rsidR="008C72BB" w:rsidRPr="00433810" w:rsidRDefault="008C72BB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8C72BB">
              <w:rPr>
                <w:b w:val="0"/>
                <w:i/>
                <w:sz w:val="24"/>
                <w:szCs w:val="24"/>
                <w:lang w:val="ru-RU"/>
              </w:rPr>
              <w:t>Україна, 02094, м. Київ, вул. Пожарського</w:t>
            </w:r>
          </w:p>
        </w:tc>
      </w:tr>
      <w:tr w:rsidR="00AB6376" w:rsidRPr="00CF2418" w14:paraId="1370FA12" w14:textId="77777777" w:rsidTr="00D433F0">
        <w:trPr>
          <w:cantSplit/>
          <w:trHeight w:val="695"/>
        </w:trPr>
        <w:tc>
          <w:tcPr>
            <w:tcW w:w="3266" w:type="dxa"/>
          </w:tcPr>
          <w:p w14:paraId="0B08DC12" w14:textId="77777777" w:rsidR="00FB5D25" w:rsidRPr="008C72BB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8C72B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 w:rsidRPr="008C72B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1412B3A2" w14:textId="234B229F" w:rsidR="00AB6376" w:rsidRPr="00B30291" w:rsidRDefault="00FB5D25" w:rsidP="00552E9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 w:rsidRPr="008C72B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0DA4C30E" w14:textId="77777777" w:rsidR="008C72BB" w:rsidRPr="008C72BB" w:rsidRDefault="008C72BB" w:rsidP="008C72B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C72BB">
              <w:rPr>
                <w:b w:val="0"/>
                <w:i/>
                <w:sz w:val="24"/>
                <w:szCs w:val="24"/>
                <w:lang w:val="ru-RU"/>
              </w:rPr>
              <w:t>Паламар Віра Анатоліївна</w:t>
            </w:r>
          </w:p>
          <w:p w14:paraId="2C8207C6" w14:textId="04DBACC8" w:rsidR="00AB6376" w:rsidRPr="008C72BB" w:rsidRDefault="008C72BB" w:rsidP="008C72B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C72BB">
              <w:rPr>
                <w:b w:val="0"/>
                <w:i/>
                <w:sz w:val="24"/>
                <w:szCs w:val="24"/>
                <w:lang w:val="ru-RU"/>
              </w:rPr>
              <w:t>Україна, 02094, м. Київ, вул. Пожарського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8C72BB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8C72BB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8C72B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C72BB">
              <w:rPr>
                <w:b w:val="0"/>
                <w:i/>
                <w:sz w:val="24"/>
                <w:szCs w:val="24"/>
                <w:lang w:val="ru-RU"/>
              </w:rPr>
              <w:t>23.02.2024</w:t>
            </w:r>
            <w:r w:rsidRPr="008C72B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C72BB">
              <w:rPr>
                <w:b w:val="0"/>
                <w:i/>
                <w:sz w:val="24"/>
                <w:szCs w:val="24"/>
                <w:lang w:val="ru-RU"/>
              </w:rPr>
              <w:t>№ 634914127</w:t>
            </w:r>
          </w:p>
        </w:tc>
      </w:tr>
    </w:tbl>
    <w:p w14:paraId="18291978" w14:textId="77777777" w:rsidR="00AB6376" w:rsidRPr="008C72BB" w:rsidRDefault="00AB6376" w:rsidP="00AB6376">
      <w:pPr>
        <w:spacing w:line="1" w:lineRule="exact"/>
        <w:rPr>
          <w:lang w:val="ru-RU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552E93">
        <w:rPr>
          <w:sz w:val="24"/>
          <w:szCs w:val="24"/>
          <w:lang w:val="ru-RU"/>
        </w:rPr>
        <w:t>8000000000:62:019:0016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D151C9">
        <w:trPr>
          <w:trHeight w:hRule="exact" w:val="479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1A891999" w:rsidR="00AB6376" w:rsidRPr="00433810" w:rsidRDefault="00AB6376" w:rsidP="00552E93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</w:rPr>
            </w:pPr>
            <w:r w:rsidRPr="00552E93">
              <w:rPr>
                <w:i/>
                <w:iCs/>
                <w:sz w:val="24"/>
                <w:szCs w:val="24"/>
                <w:lang w:val="ru-RU"/>
              </w:rPr>
              <w:t xml:space="preserve">м. Київ, р-н Деснянський, просп. </w:t>
            </w:r>
            <w:r w:rsidR="00552E93">
              <w:rPr>
                <w:i/>
                <w:iCs/>
                <w:sz w:val="24"/>
                <w:szCs w:val="24"/>
                <w:lang w:val="uk-UA"/>
              </w:rPr>
              <w:t>Червоної Калини</w:t>
            </w:r>
            <w:r w:rsidR="00552E93">
              <w:rPr>
                <w:i/>
                <w:iCs/>
                <w:sz w:val="24"/>
                <w:szCs w:val="24"/>
              </w:rPr>
              <w:t>, 26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552E93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0,0480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D151C9">
        <w:trPr>
          <w:trHeight w:hRule="exact" w:val="447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0173B9AB" w:rsidR="00AB6376" w:rsidRPr="00433810" w:rsidRDefault="00AB6376" w:rsidP="00552E93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552E93">
              <w:rPr>
                <w:i/>
                <w:sz w:val="24"/>
                <w:szCs w:val="24"/>
                <w:lang w:val="ru-RU"/>
              </w:rPr>
              <w:t>оренда</w:t>
            </w:r>
            <w:r w:rsidR="00552E93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D151C9">
        <w:trPr>
          <w:trHeight w:hRule="exact" w:val="411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17EA6B70" w:rsidR="00AB6376" w:rsidRPr="00552E93" w:rsidRDefault="001774CA" w:rsidP="00552E93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552E93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AB6376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52E93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6EBDB088" w:rsidR="00D83BE9" w:rsidRPr="00552E93" w:rsidRDefault="00AB6376" w:rsidP="00552E93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  <w:r w:rsidRPr="00552E93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552E93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552E93" w:rsidRPr="00552E93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нежитлової будівлі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552E93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2850A2C8" w:rsidR="00AB6376" w:rsidRPr="00433810" w:rsidRDefault="00D151C9" w:rsidP="00552E93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3 045 849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71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31833FE" w14:textId="77777777" w:rsidR="00447155" w:rsidRDefault="00447155" w:rsidP="0044715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 w:rsidRPr="00D02D16"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 w:rsidRPr="00D02D16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</w:t>
      </w:r>
      <w:r>
        <w:rPr>
          <w:i w:val="0"/>
          <w:sz w:val="24"/>
          <w:szCs w:val="24"/>
          <w:lang w:val="uk-UA"/>
        </w:rPr>
        <w:t>.</w:t>
      </w:r>
    </w:p>
    <w:p w14:paraId="228F485B" w14:textId="3CD69385" w:rsidR="00447155" w:rsidRDefault="00447155" w:rsidP="0044715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</w:t>
      </w:r>
      <w:r w:rsidRPr="00D02D16">
        <w:rPr>
          <w:i w:val="0"/>
          <w:sz w:val="24"/>
          <w:szCs w:val="24"/>
          <w:lang w:val="uk-UA"/>
        </w:rPr>
        <w:t xml:space="preserve">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>
        <w:rPr>
          <w:i w:val="0"/>
          <w:sz w:val="24"/>
          <w:szCs w:val="24"/>
          <w:lang w:val="uk-UA"/>
        </w:rPr>
        <w:t>2</w:t>
      </w:r>
      <w:r w:rsidR="00925F66">
        <w:rPr>
          <w:i w:val="0"/>
          <w:sz w:val="24"/>
          <w:szCs w:val="24"/>
          <w:lang w:val="uk-UA"/>
        </w:rPr>
        <w:t>8</w:t>
      </w:r>
      <w:r w:rsidRPr="00DE7A84">
        <w:rPr>
          <w:i w:val="0"/>
          <w:sz w:val="24"/>
          <w:szCs w:val="24"/>
          <w:lang w:val="uk-UA"/>
        </w:rPr>
        <w:t>.0</w:t>
      </w:r>
      <w:r>
        <w:rPr>
          <w:i w:val="0"/>
          <w:sz w:val="24"/>
          <w:szCs w:val="24"/>
          <w:lang w:val="uk-UA"/>
        </w:rPr>
        <w:t>2</w:t>
      </w:r>
      <w:r w:rsidRPr="00DE7A84">
        <w:rPr>
          <w:i w:val="0"/>
          <w:sz w:val="24"/>
          <w:szCs w:val="24"/>
          <w:lang w:val="uk-UA"/>
        </w:rPr>
        <w:t>.2024 №</w:t>
      </w:r>
      <w:r w:rsidRPr="00DE7A84">
        <w:rPr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НВ-0000</w:t>
      </w:r>
      <w:r w:rsidR="00925F66">
        <w:rPr>
          <w:i w:val="0"/>
          <w:sz w:val="24"/>
          <w:szCs w:val="24"/>
          <w:lang w:val="uk-UA"/>
        </w:rPr>
        <w:t>52067</w:t>
      </w:r>
      <w:r w:rsidRPr="00DE7A84">
        <w:rPr>
          <w:i w:val="0"/>
          <w:sz w:val="24"/>
          <w:szCs w:val="24"/>
          <w:lang w:val="uk-UA"/>
        </w:rPr>
        <w:t>2024</w:t>
      </w:r>
      <w:r w:rsidRPr="00D02D16"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00EBA75B" w14:textId="579D8A5D" w:rsidR="00AB6376" w:rsidRPr="00265722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31A9541B"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80C5963" w14:textId="4494F4FD" w:rsidR="00D433F0" w:rsidRDefault="00D433F0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21876368" w14:textId="353CD92F" w:rsidR="00D433F0" w:rsidRDefault="00D433F0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7A64A109" w14:textId="0FE3024B" w:rsidR="00D433F0" w:rsidRDefault="00D433F0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12DBB9B6" w14:textId="66294817" w:rsidR="00D433F0" w:rsidRDefault="00D433F0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180C901E" w:rsidR="00AB6376" w:rsidRPr="00D433F0" w:rsidRDefault="00AB6376" w:rsidP="00D433F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  <w:r w:rsidRPr="00D433F0">
        <w:rPr>
          <w:b/>
          <w:bCs/>
          <w:i w:val="0"/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5F8B2DA4" w:rsidR="00AB6376" w:rsidRPr="00F336A8" w:rsidRDefault="00925F66" w:rsidP="00925F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eastAsia="Times New Roman" w:hAnsi="Times New Roman" w:cs="Times New Roman"/>
                <w:i/>
              </w:rPr>
              <w:t>ка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забудована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 xml:space="preserve"> нежитлов</w:t>
            </w:r>
            <w:r>
              <w:rPr>
                <w:rFonts w:ascii="Times New Roman" w:eastAsia="Times New Roman" w:hAnsi="Times New Roman" w:cs="Times New Roman"/>
                <w:i/>
              </w:rPr>
              <w:t>ою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 xml:space="preserve"> будівл</w:t>
            </w:r>
            <w:r>
              <w:rPr>
                <w:rFonts w:ascii="Times New Roman" w:eastAsia="Times New Roman" w:hAnsi="Times New Roman" w:cs="Times New Roman"/>
                <w:i/>
              </w:rPr>
              <w:t>ею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>літ. «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>» загальною площею 2</w:t>
            </w:r>
            <w:r>
              <w:rPr>
                <w:rFonts w:ascii="Times New Roman" w:eastAsia="Times New Roman" w:hAnsi="Times New Roman" w:cs="Times New Roman"/>
                <w:i/>
              </w:rPr>
              <w:t>70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 xml:space="preserve">,7 кв.м, яка </w:t>
            </w:r>
            <w:r>
              <w:rPr>
                <w:rFonts w:ascii="Times New Roman" w:eastAsia="Times New Roman" w:hAnsi="Times New Roman" w:cs="Times New Roman"/>
                <w:i/>
              </w:rPr>
              <w:t>перебуває у власності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приватного підприємства</w:t>
            </w:r>
            <w:r w:rsidRPr="00590B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90B05"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i/>
                <w:lang w:val="ru-RU"/>
              </w:rPr>
              <w:t>ПАЛАТА</w:t>
            </w:r>
            <w:r w:rsidRPr="00590B05">
              <w:rPr>
                <w:rFonts w:ascii="Times New Roman" w:hAnsi="Times New Roman" w:cs="Times New Roman"/>
                <w:i/>
                <w:iCs/>
              </w:rPr>
              <w:t xml:space="preserve">», </w:t>
            </w:r>
            <w:r w:rsidRPr="00590B05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запису про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40852747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368166950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AB6376" w:rsidRPr="0070402C" w14:paraId="66197205" w14:textId="77777777" w:rsidTr="00925F66">
        <w:trPr>
          <w:cantSplit/>
          <w:trHeight w:val="317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5FC2B63" w14:textId="1C7CDC9E" w:rsidR="00AB6376" w:rsidRPr="00F336A8" w:rsidRDefault="00AB6376" w:rsidP="00925F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462BAAE8" w14:textId="77777777" w:rsidR="00AB6376" w:rsidRDefault="00AB6376" w:rsidP="008E344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="008E344F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8E344F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8E344F">
              <w:rPr>
                <w:rFonts w:ascii="Times New Roman" w:eastAsia="Times New Roman" w:hAnsi="Times New Roman" w:cs="Times New Roman"/>
                <w:i/>
              </w:rPr>
              <w:t xml:space="preserve"> громадських будівель і споруд та частково до території вулиць та доріг</w:t>
            </w:r>
            <w:r w:rsidR="00C971A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2685ED1" w14:textId="1AD3F076" w:rsidR="008E344F" w:rsidRPr="00F336A8" w:rsidRDefault="00D433F0" w:rsidP="00D433F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3BF">
              <w:rPr>
                <w:rFonts w:ascii="Times New Roman" w:hAnsi="Times New Roman" w:cs="Times New Roman"/>
                <w:i/>
              </w:rPr>
              <w:t>Відповідно до листа Департамент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A03BF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09</w:t>
            </w:r>
            <w:r w:rsidRPr="00EA03BF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A03BF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22</w:t>
            </w:r>
            <w:r w:rsidRPr="00EA03BF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055-1765</w:t>
            </w:r>
            <w:r w:rsidRPr="00EA03BF">
              <w:rPr>
                <w:rFonts w:ascii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D433F0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2F219E69" w:rsidR="00AB6376" w:rsidRPr="00AD604C" w:rsidRDefault="00AB6376" w:rsidP="00D433F0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1FC1EAFA" w14:textId="4CA8DBA6" w:rsidR="00D67C70" w:rsidRDefault="00D67C70" w:rsidP="00D67C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25.08.2022                             № </w:t>
            </w:r>
            <w:r w:rsidR="004148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4946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</w:t>
            </w:r>
            <w:r w:rsidR="004148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4987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перейменовано </w:t>
            </w:r>
            <w:r w:rsidR="004148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проспект Володимира Маяковського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148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Деснянському районі на </w:t>
            </w:r>
            <w:r w:rsidR="004148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проспект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148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Червоної Калини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внесено зміни до офіційного довідника «Вулиці міста Києва», затвердженого рішенням Київської міської ради від 22.01.2015 № 34/899 «Про затвердження офіційного довідника «Вулиці міста Києва».</w:t>
            </w:r>
          </w:p>
          <w:p w14:paraId="14AC4437" w14:textId="77777777" w:rsidR="00D433F0" w:rsidRDefault="00D433F0" w:rsidP="00D433F0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088E">
              <w:rPr>
                <w:rFonts w:ascii="Times New Roman" w:hAnsi="Times New Roman" w:cs="Times New Roman"/>
                <w:bCs/>
                <w:i/>
              </w:rPr>
              <w:t xml:space="preserve">Проєктом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      </w:t>
            </w:r>
            <w:r w:rsidRPr="000C088E">
              <w:rPr>
                <w:rFonts w:ascii="Times New Roman" w:hAnsi="Times New Roman" w:cs="Times New Roman"/>
                <w:bCs/>
                <w:i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1AA5F33" w14:textId="4F35AB47" w:rsidR="0092575C" w:rsidRPr="00AD604C" w:rsidRDefault="00D433F0" w:rsidP="004148A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C088E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</w:t>
            </w:r>
            <w:r w:rsidRPr="00D02D16">
              <w:rPr>
                <w:rFonts w:ascii="Times New Roman" w:hAnsi="Times New Roman" w:cs="Times New Roman"/>
                <w:i/>
              </w:rPr>
              <w:t xml:space="preserve">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4148A7" w:rsidRPr="0070402C" w14:paraId="3A5090F9" w14:textId="77777777" w:rsidTr="004F7214">
        <w:trPr>
          <w:cantSplit/>
          <w:trHeight w:val="274"/>
        </w:trPr>
        <w:tc>
          <w:tcPr>
            <w:tcW w:w="3260" w:type="dxa"/>
          </w:tcPr>
          <w:p w14:paraId="07998FAD" w14:textId="77777777" w:rsidR="004148A7" w:rsidRPr="00F804BF" w:rsidRDefault="004148A7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5B6A1F60" w14:textId="77777777" w:rsidR="004148A7" w:rsidRPr="00D02D16" w:rsidRDefault="004148A7" w:rsidP="004148A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9298E9B" w14:textId="114297FE" w:rsidR="004148A7" w:rsidRDefault="004148A7" w:rsidP="004148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02D16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44A50E86" w:rsidR="00AB6376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3164C1C4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="00D433F0">
        <w:rPr>
          <w:i w:val="0"/>
          <w:sz w:val="24"/>
          <w:szCs w:val="24"/>
          <w:lang w:val="ru-RU"/>
        </w:rPr>
        <w:t xml:space="preserve">        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3092C44F" w:rsidR="0042620A" w:rsidRDefault="0042620A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D433F0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6D36A980" w14:textId="74C68F83" w:rsidR="008F2D00" w:rsidRPr="00D02D16" w:rsidRDefault="008F2D00" w:rsidP="008F2D00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6953B0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Pr="00163058">
        <w:rPr>
          <w:i w:val="0"/>
          <w:sz w:val="24"/>
          <w:szCs w:val="24"/>
          <w:lang w:val="ru-RU"/>
        </w:rPr>
        <w:t>14</w:t>
      </w:r>
      <w:r w:rsidRPr="006953B0">
        <w:rPr>
          <w:i w:val="0"/>
          <w:sz w:val="24"/>
          <w:szCs w:val="24"/>
          <w:lang w:val="uk-UA"/>
        </w:rPr>
        <w:t>.12.202</w:t>
      </w:r>
      <w:r w:rsidRPr="00163058">
        <w:rPr>
          <w:i w:val="0"/>
          <w:sz w:val="24"/>
          <w:szCs w:val="24"/>
          <w:lang w:val="ru-RU"/>
        </w:rPr>
        <w:t>3</w:t>
      </w:r>
      <w:r w:rsidRPr="006953B0">
        <w:rPr>
          <w:i w:val="0"/>
          <w:sz w:val="24"/>
          <w:szCs w:val="24"/>
          <w:lang w:val="uk-UA"/>
        </w:rPr>
        <w:t xml:space="preserve"> № </w:t>
      </w:r>
      <w:r w:rsidRPr="00163058">
        <w:rPr>
          <w:i w:val="0"/>
          <w:sz w:val="24"/>
          <w:szCs w:val="24"/>
          <w:lang w:val="ru-RU"/>
        </w:rPr>
        <w:t>7531/7572</w:t>
      </w:r>
      <w:r w:rsidRPr="006953B0">
        <w:rPr>
          <w:i w:val="0"/>
          <w:sz w:val="24"/>
          <w:szCs w:val="24"/>
          <w:lang w:val="uk-UA"/>
        </w:rPr>
        <w:t xml:space="preserve"> «Про бюджет міста Києва на </w:t>
      </w:r>
      <w:r>
        <w:rPr>
          <w:i w:val="0"/>
          <w:sz w:val="24"/>
          <w:szCs w:val="24"/>
          <w:lang w:val="uk-UA"/>
        </w:rPr>
        <w:t xml:space="preserve">                </w:t>
      </w:r>
      <w:r w:rsidRPr="006953B0">
        <w:rPr>
          <w:i w:val="0"/>
          <w:sz w:val="24"/>
          <w:szCs w:val="24"/>
          <w:lang w:val="uk-UA"/>
        </w:rPr>
        <w:t>202</w:t>
      </w:r>
      <w:r w:rsidRPr="00163058">
        <w:rPr>
          <w:i w:val="0"/>
          <w:sz w:val="24"/>
          <w:szCs w:val="24"/>
          <w:lang w:val="ru-RU"/>
        </w:rPr>
        <w:t>4</w:t>
      </w:r>
      <w:r w:rsidRPr="006953B0">
        <w:rPr>
          <w:i w:val="0"/>
          <w:sz w:val="24"/>
          <w:szCs w:val="24"/>
          <w:lang w:val="uk-UA"/>
        </w:rPr>
        <w:t xml:space="preserve"> рік» орієнтовний розмір річної орендної плати складатиме:</w:t>
      </w:r>
      <w:r w:rsidRPr="00D02D16"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="00505FA7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ru-RU"/>
        </w:rPr>
        <w:t>152</w:t>
      </w:r>
      <w:r w:rsidRPr="00325780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="00505FA7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ru-RU"/>
        </w:rPr>
        <w:t>292</w:t>
      </w:r>
      <w:r w:rsidRPr="00325780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505FA7">
        <w:rPr>
          <w:b/>
          <w:i w:val="0"/>
          <w:sz w:val="24"/>
          <w:szCs w:val="24"/>
          <w:u w:val="single"/>
          <w:lang w:val="uk-UA"/>
        </w:rPr>
        <w:t>49</w:t>
      </w:r>
      <w:r w:rsidRPr="00325780">
        <w:rPr>
          <w:b/>
          <w:i w:val="0"/>
          <w:sz w:val="24"/>
          <w:szCs w:val="24"/>
          <w:u w:val="single"/>
          <w:lang w:val="uk-UA"/>
        </w:rPr>
        <w:t xml:space="preserve"> коп. ( 5 %).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428C2DD0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корист</w:t>
      </w:r>
      <w:r w:rsidR="00D433F0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 земельно</w:t>
      </w:r>
      <w:r w:rsidR="00D433F0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D433F0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552E9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FA0B" w14:textId="77777777" w:rsidR="001C45A2" w:rsidRDefault="001C45A2">
      <w:r>
        <w:separator/>
      </w:r>
    </w:p>
  </w:endnote>
  <w:endnote w:type="continuationSeparator" w:id="0">
    <w:p w14:paraId="7DDCFB59" w14:textId="77777777" w:rsidR="001C45A2" w:rsidRDefault="001C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E5FA" w14:textId="77777777" w:rsidR="00F1071B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F1071B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F1071B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3009" w14:textId="77777777" w:rsidR="001C45A2" w:rsidRDefault="001C45A2">
      <w:r>
        <w:separator/>
      </w:r>
    </w:p>
  </w:footnote>
  <w:footnote w:type="continuationSeparator" w:id="0">
    <w:p w14:paraId="4A426E93" w14:textId="77777777" w:rsidR="001C45A2" w:rsidRDefault="001C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5AE64913" w:rsidR="00F1071B" w:rsidRPr="00552E93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D433F0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B04F97" w:rsidRPr="00552E93">
          <w:rPr>
            <w:i w:val="0"/>
            <w:sz w:val="12"/>
            <w:szCs w:val="12"/>
            <w:lang w:val="ru-RU"/>
          </w:rPr>
          <w:t>Пояснювальна записка № ПЗН-63043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552E93">
          <w:rPr>
            <w:i w:val="0"/>
            <w:sz w:val="12"/>
            <w:szCs w:val="12"/>
            <w:lang w:val="ru-RU"/>
          </w:rPr>
          <w:t xml:space="preserve">від </w:t>
        </w:r>
        <w:r w:rsidR="00C805DB" w:rsidRPr="00552E93">
          <w:rPr>
            <w:i w:val="0"/>
            <w:sz w:val="12"/>
            <w:szCs w:val="12"/>
            <w:lang w:val="ru-RU"/>
          </w:rPr>
          <w:t>01.03.2024</w:t>
        </w:r>
        <w:r w:rsidR="00B04F97" w:rsidRPr="00552E93">
          <w:rPr>
            <w:i w:val="0"/>
            <w:sz w:val="12"/>
            <w:szCs w:val="12"/>
            <w:lang w:val="ru-RU"/>
          </w:rPr>
          <w:t xml:space="preserve"> до </w:t>
        </w:r>
        <w:r w:rsidR="00D433F0">
          <w:rPr>
            <w:i w:val="0"/>
            <w:sz w:val="12"/>
            <w:szCs w:val="12"/>
            <w:lang w:val="ru-RU"/>
          </w:rPr>
          <w:t xml:space="preserve">справи № </w:t>
        </w:r>
        <w:r w:rsidR="00B04F97" w:rsidRPr="00552E93">
          <w:rPr>
            <w:i w:val="0"/>
            <w:sz w:val="12"/>
            <w:szCs w:val="12"/>
            <w:lang w:val="ru-RU"/>
          </w:rPr>
          <w:t>634914127</w:t>
        </w:r>
      </w:p>
      <w:p w14:paraId="74DAA626" w14:textId="3B094E45" w:rsidR="00F1071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148A7" w:rsidRPr="004148A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F1071B" w:rsidRDefault="00F1071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1790288">
    <w:abstractNumId w:val="0"/>
  </w:num>
  <w:num w:numId="2" w16cid:durableId="144858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76"/>
    <w:rsid w:val="00030A21"/>
    <w:rsid w:val="00032BBF"/>
    <w:rsid w:val="000646E8"/>
    <w:rsid w:val="00067E8F"/>
    <w:rsid w:val="00070AEE"/>
    <w:rsid w:val="0007164F"/>
    <w:rsid w:val="000C4FAD"/>
    <w:rsid w:val="000C77DE"/>
    <w:rsid w:val="000D73C7"/>
    <w:rsid w:val="000E4304"/>
    <w:rsid w:val="000F1E76"/>
    <w:rsid w:val="00160C62"/>
    <w:rsid w:val="0017443C"/>
    <w:rsid w:val="001774CA"/>
    <w:rsid w:val="00187816"/>
    <w:rsid w:val="001C45A2"/>
    <w:rsid w:val="001F61EC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148A7"/>
    <w:rsid w:val="0042429B"/>
    <w:rsid w:val="0042620A"/>
    <w:rsid w:val="00430E3F"/>
    <w:rsid w:val="00433810"/>
    <w:rsid w:val="00447155"/>
    <w:rsid w:val="0048046C"/>
    <w:rsid w:val="004B0A5A"/>
    <w:rsid w:val="004C27C5"/>
    <w:rsid w:val="004F7214"/>
    <w:rsid w:val="005056C4"/>
    <w:rsid w:val="00505FA7"/>
    <w:rsid w:val="00552E93"/>
    <w:rsid w:val="0062039C"/>
    <w:rsid w:val="00626FEC"/>
    <w:rsid w:val="00627A9F"/>
    <w:rsid w:val="006617B7"/>
    <w:rsid w:val="00672119"/>
    <w:rsid w:val="00692BEA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B7A3B"/>
    <w:rsid w:val="008C72BB"/>
    <w:rsid w:val="008D7061"/>
    <w:rsid w:val="008E344F"/>
    <w:rsid w:val="008F2D00"/>
    <w:rsid w:val="00902E1F"/>
    <w:rsid w:val="00923E41"/>
    <w:rsid w:val="0092575C"/>
    <w:rsid w:val="00925F66"/>
    <w:rsid w:val="00936C11"/>
    <w:rsid w:val="009574C2"/>
    <w:rsid w:val="00A42D6D"/>
    <w:rsid w:val="00A635B1"/>
    <w:rsid w:val="00A90D7B"/>
    <w:rsid w:val="00AB0FE5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151C9"/>
    <w:rsid w:val="00D433F0"/>
    <w:rsid w:val="00D67C70"/>
    <w:rsid w:val="00D83BE9"/>
    <w:rsid w:val="00DD7B2D"/>
    <w:rsid w:val="00E457DD"/>
    <w:rsid w:val="00E679AD"/>
    <w:rsid w:val="00E875D7"/>
    <w:rsid w:val="00EF695A"/>
    <w:rsid w:val="00F1071B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4323-3E05-446E-AAFC-4085978E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4283</Words>
  <Characters>2442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6712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Корнійчук Олеся Михайлівна</cp:lastModifiedBy>
  <cp:revision>2</cp:revision>
  <cp:lastPrinted>2021-11-24T13:37:00Z</cp:lastPrinted>
  <dcterms:created xsi:type="dcterms:W3CDTF">2024-03-27T10:59:00Z</dcterms:created>
  <dcterms:modified xsi:type="dcterms:W3CDTF">2024-03-27T10:59:00Z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