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651380578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651380578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69854F4" w:rsidR="008A338E" w:rsidRPr="00EE25C6" w:rsidRDefault="00EE25C6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EE25C6">
        <w:rPr>
          <w:b/>
          <w:bCs/>
          <w:i w:val="0"/>
          <w:iCs w:val="0"/>
          <w:sz w:val="24"/>
          <w:szCs w:val="24"/>
        </w:rPr>
        <w:t xml:space="preserve">від </w:t>
      </w:r>
      <w:r w:rsidRPr="00EE25C6">
        <w:rPr>
          <w:b/>
          <w:bCs/>
          <w:i w:val="0"/>
          <w:sz w:val="24"/>
          <w:szCs w:val="24"/>
          <w:lang w:val="ru-RU"/>
        </w:rPr>
        <w:t>08.06.2022</w:t>
      </w:r>
      <w:r w:rsidR="00B34649" w:rsidRPr="00EE25C6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8A960FA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5C6">
        <w:rPr>
          <w:b/>
          <w:bCs/>
          <w:i w:val="0"/>
          <w:sz w:val="24"/>
          <w:szCs w:val="24"/>
          <w:lang w:val="ru-RU"/>
        </w:rPr>
        <w:t xml:space="preserve"> </w:t>
      </w:r>
      <w:r w:rsidR="007B72F8" w:rsidRPr="00EE25C6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EE25C6">
        <w:rPr>
          <w:b/>
          <w:bCs/>
          <w:i w:val="0"/>
          <w:iCs w:val="0"/>
          <w:sz w:val="24"/>
          <w:szCs w:val="24"/>
        </w:rPr>
        <w:t>ПЗ</w:t>
      </w:r>
      <w:r w:rsidR="00B87AD3" w:rsidRPr="00EE25C6">
        <w:rPr>
          <w:b/>
          <w:bCs/>
          <w:i w:val="0"/>
          <w:iCs w:val="0"/>
          <w:sz w:val="24"/>
          <w:szCs w:val="24"/>
        </w:rPr>
        <w:t>Н</w:t>
      </w:r>
      <w:r w:rsidR="00C55118" w:rsidRPr="00EE25C6">
        <w:rPr>
          <w:b/>
          <w:bCs/>
          <w:i w:val="0"/>
          <w:sz w:val="24"/>
          <w:szCs w:val="24"/>
          <w:lang w:val="ru-RU"/>
        </w:rPr>
        <w:t>-41690</w:t>
      </w:r>
      <w:r w:rsidR="007B72F8" w:rsidRPr="00EE25C6">
        <w:rPr>
          <w:b/>
          <w:bCs/>
          <w:i w:val="0"/>
          <w:iCs w:val="0"/>
          <w:sz w:val="24"/>
          <w:szCs w:val="24"/>
        </w:rPr>
        <w:t xml:space="preserve"> 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7A7ED9D3" w14:textId="398A7DA7" w:rsidR="00AF51AA" w:rsidRPr="00AF51AA" w:rsidRDefault="00AF51AA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AF51AA">
        <w:rPr>
          <w:b/>
          <w:i/>
          <w:sz w:val="24"/>
          <w:szCs w:val="24"/>
        </w:rPr>
        <w:t xml:space="preserve">Про поновлення </w:t>
      </w:r>
      <w:r w:rsidRPr="00AF51AA">
        <w:rPr>
          <w:b/>
          <w:i/>
          <w:sz w:val="24"/>
          <w:szCs w:val="24"/>
          <w:highlight w:val="white"/>
        </w:rPr>
        <w:t>товариству з обмеженою відповідальністю «Футбольний клуб «Динамо» Київ»</w:t>
      </w:r>
      <w:r w:rsidRPr="00AF51AA">
        <w:rPr>
          <w:b/>
          <w:i/>
          <w:sz w:val="24"/>
          <w:szCs w:val="24"/>
        </w:rPr>
        <w:t xml:space="preserve"> договору оренди земельної ділянки від 04 жовтня 2010 року № 79-6-00785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8ACE500" w:rsidR="00E94376" w:rsidRPr="000B1E6A" w:rsidRDefault="00C55118" w:rsidP="00AF51A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</w:t>
            </w:r>
            <w:r w:rsidR="00AF51AA">
              <w:rPr>
                <w:i/>
                <w:sz w:val="24"/>
                <w:szCs w:val="24"/>
              </w:rPr>
              <w:t>дповідальністю «Футбольний клуб «</w:t>
            </w:r>
            <w:r w:rsidRPr="00E14097">
              <w:rPr>
                <w:i/>
                <w:sz w:val="24"/>
                <w:szCs w:val="24"/>
              </w:rPr>
              <w:t>Динамо</w:t>
            </w:r>
            <w:r w:rsidR="00AF51AA">
              <w:rPr>
                <w:i/>
                <w:sz w:val="24"/>
                <w:szCs w:val="24"/>
              </w:rPr>
              <w:t xml:space="preserve">» </w:t>
            </w:r>
            <w:r w:rsidRPr="00E14097">
              <w:rPr>
                <w:i/>
                <w:sz w:val="24"/>
                <w:szCs w:val="24"/>
              </w:rPr>
              <w:t>Київ»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AF51AA">
              <w:rPr>
                <w:i/>
                <w:sz w:val="24"/>
                <w:szCs w:val="24"/>
              </w:rPr>
              <w:t>(</w:t>
            </w:r>
            <w:r w:rsidR="00FF0A55" w:rsidRPr="00AF51AA">
              <w:rPr>
                <w:i/>
                <w:sz w:val="24"/>
                <w:szCs w:val="24"/>
              </w:rPr>
              <w:t>ЄДРПОУ</w:t>
            </w:r>
            <w:r w:rsidR="002B5778" w:rsidRPr="00AF51AA">
              <w:rPr>
                <w:i/>
                <w:sz w:val="24"/>
                <w:szCs w:val="24"/>
                <w:lang w:val="ru-RU"/>
              </w:rPr>
              <w:t xml:space="preserve"> </w:t>
            </w:r>
            <w:r w:rsidR="00AF51AA" w:rsidRPr="00AF51AA">
              <w:rPr>
                <w:i/>
                <w:sz w:val="24"/>
                <w:szCs w:val="24"/>
                <w:lang w:val="ru-RU"/>
              </w:rPr>
              <w:t>00</w:t>
            </w:r>
            <w:r w:rsidR="000B1E6A" w:rsidRPr="00AF51AA">
              <w:rPr>
                <w:i/>
                <w:color w:val="auto"/>
                <w:sz w:val="24"/>
                <w:szCs w:val="24"/>
                <w:lang w:val="ru-RU" w:bidi="ar-SA"/>
              </w:rPr>
              <w:t>305981</w:t>
            </w:r>
            <w:r w:rsidR="000B1E6A" w:rsidRPr="00AF51A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F51A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AF51A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AF51A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AF51A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F51A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4950EBD1" w14:textId="1499087F" w:rsidR="00AF51AA" w:rsidRPr="00EE25C6" w:rsidRDefault="005F57A4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hyperlink r:id="rId11" w:history="1">
              <w:r w:rsidR="00AF51AA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ГРОМАДСЬКА ОРГАНІЗАЦІЯ ФІЗ</w:t>
              </w:r>
              <w:r w:rsid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КУЛЬТУРНО-СПОРТИВНЕ ТОВАРИСТВО «</w:t>
              </w:r>
              <w:r w:rsidR="00AF51AA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ДИНАМО</w:t>
              </w:r>
              <w:r w:rsid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»</w:t>
              </w:r>
              <w:r w:rsidR="00AF51AA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 xml:space="preserve"> УКРАЇНИ</w:t>
              </w:r>
            </w:hyperlink>
          </w:p>
          <w:p w14:paraId="4073957B" w14:textId="3A2012A6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код ЄДРПОУ засновника: 00035145</w:t>
            </w:r>
          </w:p>
          <w:p w14:paraId="2D3A7763" w14:textId="4457AB3D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адреса засновника: Україна, 01021, місто Київ,                                ВУЛИЦЯ ІНСТИТУТСЬКА, будинок 29</w:t>
            </w:r>
          </w:p>
          <w:p w14:paraId="3702D36D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Розмір внеску до статутного фонду: 1 720 000,00 грн</w:t>
            </w:r>
          </w:p>
          <w:p w14:paraId="0275DADD" w14:textId="515641F5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Частка (%): 0,6575%;</w:t>
            </w:r>
          </w:p>
          <w:p w14:paraId="7E59F0BA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ЛОБАНОВСЬКА СВІТЛАНА ВАЛЕРІЇВНА</w:t>
            </w:r>
          </w:p>
          <w:p w14:paraId="5B75025D" w14:textId="25D1D0D9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 xml:space="preserve">адреса </w:t>
            </w: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засновника: Україна, 01010, місто Київ, ВУЛИЦЯ СУВОРОВА, будинок </w:t>
            </w:r>
            <w:hyperlink r:id="rId12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12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3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121</w:t>
              </w:r>
            </w:hyperlink>
          </w:p>
          <w:p w14:paraId="32E87ED4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1 891 400,00 грн</w:t>
            </w:r>
          </w:p>
          <w:p w14:paraId="1C566B14" w14:textId="759C48A3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0,7230%;</w:t>
            </w:r>
          </w:p>
          <w:p w14:paraId="3A568C7F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СУРКІС ІГОР РАХМІЛЬОВИЧ</w:t>
            </w:r>
          </w:p>
          <w:p w14:paraId="2558C0C0" w14:textId="70ED577D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адреса засновника: Україна, 02230, місто Київ, вул. Ділова, будинок </w:t>
            </w:r>
            <w:hyperlink r:id="rId14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21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5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</w:t>
              </w:r>
            </w:hyperlink>
          </w:p>
          <w:p w14:paraId="58E74CB5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166 650 000,00 грн</w:t>
            </w:r>
          </w:p>
          <w:p w14:paraId="3C76961E" w14:textId="763DA6A0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63,7066%;</w:t>
            </w:r>
          </w:p>
          <w:p w14:paraId="2C69D8FD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КРАВЧУК ЛЕОНІД МАКАРОВИЧ</w:t>
            </w:r>
          </w:p>
          <w:p w14:paraId="73B61E73" w14:textId="37B22993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адреса засновника: Україна, 01021, місто Київ,                               ВУЛ. ІНСТИТУТСЬКА, будинок </w:t>
            </w:r>
            <w:hyperlink r:id="rId16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22/2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7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22</w:t>
              </w:r>
            </w:hyperlink>
          </w:p>
          <w:p w14:paraId="2CBB18FD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1 720 000,00 грн</w:t>
            </w:r>
          </w:p>
          <w:p w14:paraId="20BA7B74" w14:textId="4AB74471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0,6575%;</w:t>
            </w:r>
          </w:p>
          <w:p w14:paraId="2D1EC6F1" w14:textId="02DF8B43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КОМПАНІЯ "АЛУТСІАНА КОМЕРШЛ ЛТД"</w:t>
            </w:r>
          </w:p>
          <w:p w14:paraId="10C2CF10" w14:textId="5B208496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 xml:space="preserve">адреса засновника: Кіпр, ЛІМАСОЛ, ЕЛЛАНІКУ, 3, АГІОС ГЕОРГІОС </w:t>
            </w:r>
            <w:proofErr w:type="spellStart"/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ХАВУЗАСКіпр</w:t>
            </w:r>
            <w:proofErr w:type="spellEnd"/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ЛІМАСОЛ, ЕЛЛАНІКУ, </w:t>
            </w:r>
            <w:hyperlink r:id="rId18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2,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 АГІОС ГЕОРГІОС ХАВУЗАС</w:t>
            </w:r>
          </w:p>
          <w:p w14:paraId="1C8E658B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</w:t>
            </w:r>
            <w:r w:rsidRPr="00EE25C6">
              <w:rPr>
                <w:rFonts w:ascii="Times New Roman" w:hAnsi="Times New Roman" w:cs="Times New Roman"/>
                <w:b/>
                <w:i/>
              </w:rPr>
              <w:t>: 29 442 900,00 грн</w:t>
            </w:r>
          </w:p>
          <w:p w14:paraId="1DDA38F9" w14:textId="58B7D39D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Частка (%): 11,2554%;</w:t>
            </w:r>
          </w:p>
          <w:p w14:paraId="57C87A21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ПАЙОВИЙ ВЕНЧУРНИЙ НЕДИВЕРСИФІКОВАНИЙ ЗАКРИТИЙ ІНВЕСТИЦІЙНИЙ ФОНД "СПОРТ-КЕПІТАЛ", РЕЄСТРАЦІЙНИЙ КОД ЗА ЄДРІ В ІНТЕРЕСАХ ТА ЗА РАХУНОК АКТИВІВ ФОНДУ ВІД ВЛАСНОГО ІМЕНІ ДІЄ ТОВАРИСТВО З ОБМЕЖЕНОЮ ВІДПОВІДАЛЬНІСТЮ "КОМПАНІЯ З УПРАВЛІННЯ АКТИВАМИ "МТІР ЕССЕТ МЕНЕДЖМЕНТ", КОД ЄДРПОУ 33669793, МІСЦЕЗНАХОДЖЕННЯ: 01024, М.КИЇВ, ПЕЧЕРСЬКИЙ РАЙОН, ВУЛИЦЯ ВЕЛИКА ВАСИЛЬКІВСЬКА, БУДИНОК 23-Б</w:t>
            </w:r>
          </w:p>
          <w:p w14:paraId="41021D61" w14:textId="77777777" w:rsidR="00AF51AA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Розмір внеску до статутного фонду: 60 165 700,00 грн</w:t>
            </w:r>
          </w:p>
          <w:p w14:paraId="6643096C" w14:textId="33F02A7A" w:rsidR="00E94376" w:rsidRPr="00EE25C6" w:rsidRDefault="00AF51AA" w:rsidP="00EE25C6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Частка (%): 23,0000%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8DADF97" w14:textId="77777777" w:rsidR="00AF51AA" w:rsidRPr="00AF51AA" w:rsidRDefault="00AF51AA" w:rsidP="00AF51A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</w:rPr>
              <w:t xml:space="preserve">Суркіс Ігор </w:t>
            </w:r>
            <w:proofErr w:type="spellStart"/>
            <w:r w:rsidRPr="00AF51AA">
              <w:rPr>
                <w:i/>
                <w:sz w:val="24"/>
                <w:szCs w:val="24"/>
              </w:rPr>
              <w:t>Рахмільович</w:t>
            </w:r>
            <w:proofErr w:type="spellEnd"/>
          </w:p>
          <w:p w14:paraId="2FC0A004" w14:textId="0BF44356" w:rsidR="00AF51AA" w:rsidRPr="00AF51AA" w:rsidRDefault="00AF51AA" w:rsidP="00AF51A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</w:rPr>
              <w:t>Україна, 03150, місто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51AA">
              <w:rPr>
                <w:i/>
                <w:sz w:val="24"/>
                <w:szCs w:val="24"/>
              </w:rPr>
              <w:t xml:space="preserve">Ділова, </w:t>
            </w:r>
            <w:r>
              <w:rPr>
                <w:i/>
                <w:sz w:val="24"/>
                <w:szCs w:val="24"/>
              </w:rPr>
              <w:t xml:space="preserve">                                             </w:t>
            </w:r>
            <w:r w:rsidRPr="00AF51AA">
              <w:rPr>
                <w:i/>
                <w:sz w:val="24"/>
                <w:szCs w:val="24"/>
              </w:rPr>
              <w:t>будинок 21, квартира 2</w:t>
            </w:r>
          </w:p>
          <w:p w14:paraId="7E42E5C4" w14:textId="77777777" w:rsidR="00AF51AA" w:rsidRPr="00AF51AA" w:rsidRDefault="00AF51AA" w:rsidP="00AF51A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AF51AA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AF51AA">
              <w:rPr>
                <w:i/>
                <w:sz w:val="24"/>
                <w:szCs w:val="24"/>
              </w:rPr>
              <w:t xml:space="preserve"> володіння: Прямий вирішальний вплив</w:t>
            </w:r>
          </w:p>
          <w:p w14:paraId="1C7A8B69" w14:textId="22AAC91E" w:rsidR="00E94376" w:rsidRPr="00037B84" w:rsidRDefault="00AF51AA" w:rsidP="00AF51AA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63.71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AF51AA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30.05.2022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651380578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8000000000:90:132:0028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0529B240" w:rsidR="008A338E" w:rsidRPr="006200AE" w:rsidRDefault="00FF0A55" w:rsidP="00AF51AA">
            <w:pPr>
              <w:pStyle w:val="a4"/>
              <w:shd w:val="clear" w:color="auto" w:fill="auto"/>
              <w:spacing w:line="233" w:lineRule="auto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Столичне шосе, 45 (між існуючими футбольними полями та медико-реабіліта</w:t>
            </w:r>
            <w:r w:rsidR="00AF51AA">
              <w:rPr>
                <w:b/>
                <w:i/>
                <w:sz w:val="24"/>
                <w:szCs w:val="24"/>
                <w:shd w:val="clear" w:color="auto" w:fill="FFFFFF"/>
              </w:rPr>
              <w:t>ційним центром спортивної бази «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Конча-Заспа</w:t>
            </w:r>
            <w:r w:rsidR="00AF51AA">
              <w:rPr>
                <w:b/>
                <w:i/>
                <w:sz w:val="24"/>
                <w:szCs w:val="24"/>
                <w:shd w:val="clear" w:color="auto" w:fill="FFFFFF"/>
              </w:rPr>
              <w:t>»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)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AF51AA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5,1300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AF51AA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731AE26B" w:rsidR="006764C8" w:rsidRPr="00056A2A" w:rsidRDefault="00AF51AA" w:rsidP="00AF51AA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6C014FE" w:rsidR="006764C8" w:rsidRPr="00AF51AA" w:rsidRDefault="00AF51AA" w:rsidP="00347438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07.02 - д</w:t>
            </w:r>
            <w:r w:rsidRPr="00AF51AA">
              <w:rPr>
                <w:b/>
                <w:i/>
                <w:sz w:val="24"/>
                <w:szCs w:val="24"/>
              </w:rPr>
              <w:t xml:space="preserve">ля будівництва та обслуговування об’єктів фізичної культури і спорту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AF51AA">
              <w:rPr>
                <w:b/>
                <w:i/>
                <w:sz w:val="24"/>
                <w:szCs w:val="24"/>
              </w:rPr>
              <w:t xml:space="preserve">для облаштування </w:t>
            </w:r>
            <w:proofErr w:type="spellStart"/>
            <w:r w:rsidR="00C55118" w:rsidRPr="00AF51AA">
              <w:rPr>
                <w:b/>
                <w:i/>
                <w:sz w:val="24"/>
                <w:szCs w:val="24"/>
              </w:rPr>
              <w:t>теренкурних</w:t>
            </w:r>
            <w:proofErr w:type="spellEnd"/>
            <w:r w:rsidR="00C55118" w:rsidRPr="00AF51AA">
              <w:rPr>
                <w:b/>
                <w:i/>
                <w:sz w:val="24"/>
                <w:szCs w:val="24"/>
              </w:rPr>
              <w:t xml:space="preserve"> маршрутів та буд</w:t>
            </w:r>
            <w:r>
              <w:rPr>
                <w:b/>
                <w:i/>
                <w:sz w:val="24"/>
                <w:szCs w:val="24"/>
              </w:rPr>
              <w:t>івництва спортивного знаряддя                                (</w:t>
            </w:r>
            <w:r w:rsidR="00C55118" w:rsidRPr="00AF51AA">
              <w:rPr>
                <w:b/>
                <w:i/>
                <w:sz w:val="24"/>
                <w:szCs w:val="24"/>
              </w:rPr>
              <w:t xml:space="preserve">з максимальним збереженням зелених насаджень) </w:t>
            </w:r>
            <w:r>
              <w:rPr>
                <w:b/>
                <w:i/>
                <w:sz w:val="24"/>
                <w:szCs w:val="24"/>
              </w:rPr>
              <w:t xml:space="preserve">                         </w:t>
            </w:r>
            <w:r w:rsidR="00C55118" w:rsidRPr="00AF51AA">
              <w:rPr>
                <w:b/>
                <w:i/>
                <w:sz w:val="24"/>
                <w:szCs w:val="24"/>
              </w:rPr>
              <w:t>(для роз</w:t>
            </w:r>
            <w:r w:rsidR="00EE25C6">
              <w:rPr>
                <w:b/>
                <w:i/>
                <w:sz w:val="24"/>
                <w:szCs w:val="24"/>
              </w:rPr>
              <w:t>ширення учбово-спортивної бази «</w:t>
            </w:r>
            <w:r w:rsidR="00C55118" w:rsidRPr="00AF51AA">
              <w:rPr>
                <w:b/>
                <w:i/>
                <w:sz w:val="24"/>
                <w:szCs w:val="24"/>
              </w:rPr>
              <w:t>Конча-Заспа</w:t>
            </w:r>
            <w:r w:rsidR="00EE25C6">
              <w:rPr>
                <w:b/>
                <w:i/>
                <w:sz w:val="24"/>
                <w:szCs w:val="24"/>
              </w:rPr>
              <w:t>»</w:t>
            </w:r>
            <w:r w:rsidR="00C55118" w:rsidRPr="00AF51A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AF51AA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3B527571" w:rsidR="006D7E33" w:rsidRPr="00056A2A" w:rsidRDefault="00347438" w:rsidP="00347438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347438">
              <w:rPr>
                <w:b/>
                <w:i/>
                <w:sz w:val="24"/>
                <w:szCs w:val="24"/>
                <w:shd w:val="clear" w:color="auto" w:fill="FFFFFF"/>
              </w:rPr>
              <w:t>30 274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347438">
              <w:rPr>
                <w:b/>
                <w:i/>
                <w:sz w:val="24"/>
                <w:szCs w:val="24"/>
                <w:shd w:val="clear" w:color="auto" w:fill="FFFFFF"/>
              </w:rPr>
              <w:t>768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347438">
              <w:rPr>
                <w:b/>
                <w:i/>
                <w:sz w:val="24"/>
                <w:szCs w:val="24"/>
                <w:shd w:val="clear" w:color="auto" w:fill="FFFFFF"/>
              </w:rPr>
              <w:t>90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  <w:r w:rsidRPr="00347438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155FA4" w:rsidRDefault="00FC32B6" w:rsidP="00E77A9B">
      <w:pPr>
        <w:pStyle w:val="a7"/>
        <w:shd w:val="clear" w:color="auto" w:fill="auto"/>
        <w:ind w:right="283" w:firstLine="440"/>
        <w:rPr>
          <w:b w:val="0"/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1493684" w14:textId="77777777" w:rsidR="00397318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55FA4">
              <w:rPr>
                <w:b w:val="0"/>
                <w:i/>
                <w:sz w:val="24"/>
                <w:szCs w:val="24"/>
              </w:rPr>
              <w:t>Забудована</w:t>
            </w:r>
            <w:r w:rsidR="00AF51AA" w:rsidRPr="00155FA4">
              <w:rPr>
                <w:b w:val="0"/>
                <w:i/>
                <w:sz w:val="24"/>
                <w:szCs w:val="24"/>
              </w:rPr>
              <w:t>.</w:t>
            </w:r>
          </w:p>
          <w:p w14:paraId="2E3AF910" w14:textId="6B591B70" w:rsidR="00FF0A55" w:rsidRPr="00397318" w:rsidRDefault="00397318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Під час обстеження встановлено, що на зазначеній земельній ділянці розташовано будівлі та споруди (роздягальня, вбиральня, адміністративно-господарський будинок та ангар для пожежних машин) та автомобільна стоянка для відвідувачів, решту території займають зелені насадження </w:t>
            </w:r>
            <w:r w:rsidR="00FF0A55" w:rsidRPr="00397318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Pr="00397318">
              <w:rPr>
                <w:b w:val="0"/>
                <w:i/>
                <w:sz w:val="24"/>
                <w:szCs w:val="24"/>
              </w:rPr>
              <w:t xml:space="preserve"> 08.</w:t>
            </w:r>
            <w:r>
              <w:rPr>
                <w:b w:val="0"/>
                <w:i/>
                <w:sz w:val="24"/>
                <w:szCs w:val="24"/>
              </w:rPr>
              <w:t xml:space="preserve">06.2022 </w:t>
            </w:r>
            <w:r w:rsidR="00FF0A55" w:rsidRPr="00397318">
              <w:rPr>
                <w:b w:val="0"/>
                <w:i/>
                <w:sz w:val="24"/>
                <w:szCs w:val="24"/>
              </w:rPr>
              <w:t xml:space="preserve">№ </w:t>
            </w:r>
            <w:r>
              <w:rPr>
                <w:b w:val="0"/>
                <w:i/>
                <w:sz w:val="24"/>
                <w:szCs w:val="24"/>
              </w:rPr>
              <w:t>22-0127/01</w:t>
            </w:r>
            <w:r w:rsidR="00FF0A55" w:rsidRPr="00397318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599D0CBA" w:rsidR="00823CCF" w:rsidRPr="00907FF6" w:rsidRDefault="00603291" w:rsidP="003A7BE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55FA4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155FA4">
              <w:rPr>
                <w:b w:val="0"/>
                <w:i/>
                <w:sz w:val="24"/>
                <w:szCs w:val="24"/>
              </w:rPr>
              <w:t xml:space="preserve"> </w:t>
            </w:r>
            <w:r w:rsidR="0091317A" w:rsidRPr="00155FA4">
              <w:rPr>
                <w:b w:val="0"/>
                <w:i/>
                <w:sz w:val="24"/>
                <w:szCs w:val="24"/>
              </w:rPr>
              <w:t>товариству з обмеженою відповідальністю «Футбольний клуб «Динамо» Київ»</w:t>
            </w:r>
            <w:r w:rsidRPr="00155FA4">
              <w:rPr>
                <w:b w:val="0"/>
                <w:i/>
                <w:sz w:val="24"/>
                <w:szCs w:val="24"/>
              </w:rPr>
              <w:t xml:space="preserve"> </w:t>
            </w:r>
            <w:r w:rsidR="00BA381F" w:rsidRPr="00155FA4">
              <w:rPr>
                <w:b w:val="0"/>
                <w:i/>
                <w:sz w:val="24"/>
                <w:szCs w:val="24"/>
              </w:rPr>
              <w:t>(далі</w:t>
            </w:r>
            <w:r w:rsidR="003A7BE2" w:rsidRPr="00155FA4">
              <w:rPr>
                <w:b w:val="0"/>
                <w:i/>
                <w:sz w:val="24"/>
                <w:szCs w:val="24"/>
              </w:rPr>
              <w:t xml:space="preserve"> - </w:t>
            </w:r>
            <w:r w:rsidR="00BA381F" w:rsidRPr="00155FA4">
              <w:rPr>
                <w:b w:val="0"/>
                <w:i/>
                <w:sz w:val="24"/>
                <w:szCs w:val="24"/>
              </w:rPr>
              <w:t xml:space="preserve"> Товариство) </w:t>
            </w:r>
            <w:r w:rsidR="0091317A" w:rsidRPr="00155FA4">
              <w:rPr>
                <w:b w:val="0"/>
                <w:i/>
                <w:sz w:val="24"/>
                <w:szCs w:val="24"/>
              </w:rPr>
              <w:t xml:space="preserve">належить на праві власності комплекс нежитлових будівель </w:t>
            </w:r>
            <w:r w:rsidR="00D369E0" w:rsidRPr="00155FA4">
              <w:rPr>
                <w:b w:val="0"/>
                <w:i/>
                <w:sz w:val="24"/>
                <w:szCs w:val="24"/>
              </w:rPr>
              <w:t xml:space="preserve">(літ. Б, З, В, Н, О, М, Д, Е, Ж) та площинних спортивних споруд (літ. С, Т, У, Х, Х, П, Р) </w:t>
            </w:r>
            <w:r w:rsidRPr="00155FA4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3A7BE2" w:rsidRPr="00155FA4">
              <w:rPr>
                <w:b w:val="0"/>
                <w:i/>
                <w:sz w:val="24"/>
                <w:szCs w:val="24"/>
              </w:rPr>
              <w:t xml:space="preserve">3189,5 </w:t>
            </w:r>
            <w:proofErr w:type="spellStart"/>
            <w:r w:rsidRPr="00155FA4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155FA4">
              <w:rPr>
                <w:b w:val="0"/>
                <w:i/>
                <w:sz w:val="24"/>
                <w:szCs w:val="24"/>
              </w:rPr>
              <w:t>.</w:t>
            </w:r>
            <w:r w:rsidR="003A7BE2" w:rsidRPr="00155FA4">
              <w:rPr>
                <w:b w:val="0"/>
                <w:i/>
                <w:sz w:val="24"/>
                <w:szCs w:val="24"/>
              </w:rPr>
              <w:t xml:space="preserve"> </w:t>
            </w:r>
            <w:r w:rsidRPr="00155FA4">
              <w:rPr>
                <w:b w:val="0"/>
                <w:i/>
                <w:sz w:val="24"/>
                <w:szCs w:val="24"/>
              </w:rPr>
              <w:t xml:space="preserve">м </w:t>
            </w:r>
            <w:r w:rsidR="00D369E0" w:rsidRPr="00155FA4">
              <w:rPr>
                <w:b w:val="0"/>
                <w:i/>
                <w:sz w:val="24"/>
                <w:szCs w:val="24"/>
              </w:rPr>
              <w:t xml:space="preserve">на Столичному шосе, 45 </w:t>
            </w:r>
            <w:r w:rsidRPr="00155FA4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3A7BE2" w:rsidRPr="00155FA4">
              <w:rPr>
                <w:b w:val="0"/>
                <w:i/>
                <w:sz w:val="24"/>
                <w:szCs w:val="24"/>
              </w:rPr>
              <w:t>1539735180000</w:t>
            </w:r>
            <w:r w:rsidRPr="00155FA4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3A7BE2" w:rsidRPr="00155FA4">
              <w:rPr>
                <w:b w:val="0"/>
                <w:i/>
                <w:sz w:val="24"/>
                <w:szCs w:val="24"/>
              </w:rPr>
              <w:t xml:space="preserve">25.04.2018                 </w:t>
            </w:r>
            <w:r w:rsidRPr="00155FA4">
              <w:rPr>
                <w:b w:val="0"/>
                <w:i/>
                <w:sz w:val="24"/>
                <w:szCs w:val="24"/>
              </w:rPr>
              <w:t xml:space="preserve">№ </w:t>
            </w:r>
            <w:r w:rsidR="003A7BE2" w:rsidRPr="00155FA4">
              <w:rPr>
                <w:b w:val="0"/>
                <w:i/>
                <w:sz w:val="24"/>
                <w:szCs w:val="24"/>
              </w:rPr>
              <w:t>25896114</w:t>
            </w:r>
            <w:r w:rsidRPr="00155FA4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EA2FE16" w:rsidR="00823CCF" w:rsidRPr="00155FA4" w:rsidRDefault="0018193A" w:rsidP="0039731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55FA4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635B57" w:rsidRPr="00155FA4">
              <w:rPr>
                <w:b w:val="0"/>
                <w:i/>
                <w:sz w:val="24"/>
                <w:szCs w:val="24"/>
              </w:rPr>
              <w:t>затверджений.</w:t>
            </w:r>
            <w:r w:rsidR="00794C38" w:rsidRPr="00155FA4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2ABCE29" w:rsidR="00823CCF" w:rsidRPr="00155FA4" w:rsidRDefault="007B17DC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55FA4">
              <w:rPr>
                <w:b w:val="0"/>
                <w:i/>
                <w:sz w:val="24"/>
                <w:szCs w:val="24"/>
              </w:rPr>
              <w:t>Території зелених насаджень загального користування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B17DC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76AA768C" w:rsidR="006A19DF" w:rsidRPr="00155FA4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55FA4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155FA4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155FA4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907FF6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55FA4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155FA4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155FA4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155FA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155FA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155FA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рекреаційного</w:t>
            </w:r>
            <w:proofErr w:type="spellEnd"/>
            <w:r w:rsidRPr="00155FA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155FA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призначення</w:t>
            </w:r>
            <w:proofErr w:type="spellEnd"/>
            <w:r w:rsidRPr="00155FA4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155FA4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155FA4">
              <w:rPr>
                <w:b w:val="0"/>
                <w:i/>
                <w:sz w:val="24"/>
                <w:szCs w:val="24"/>
              </w:rPr>
              <w:t>-</w:t>
            </w:r>
            <w:r w:rsidRPr="00155FA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155FA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07.02</w:t>
            </w:r>
            <w:r w:rsidRPr="00155FA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B011F10" w:rsidR="00823CCF" w:rsidRPr="00155FA4" w:rsidRDefault="00635B57" w:rsidP="00B1731B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Рішенням Київської міської ради від 29.10</w:t>
            </w:r>
            <w:r w:rsidR="00B1731B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2009 № 586/2655 внесено зміни до Програми розвитку зеленої зони міста Києва до 2010 року та концепції формування зелених насаджень в центральній частині міста, затверджених рішенням Київської міської ради від 19.07.2005 </w:t>
            </w:r>
            <w:r w:rsidR="00B1731B">
              <w:rPr>
                <w:rFonts w:ascii="Times New Roman" w:eastAsia="Times New Roman" w:hAnsi="Times New Roman" w:cs="Times New Roman"/>
                <w:bCs/>
                <w:i/>
              </w:rPr>
              <w:t>№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 806/3381, відповідно до пункту 3 цього рішення, яким частину лісових земель загальною площею 16,35 га (квартал № 1, виділи 15, 21, 24, 31, 32; квартал № 4, виділи 6 - 12, 18, 34)</w:t>
            </w:r>
            <w:r w:rsidR="00E23096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Конча-Заспівського</w:t>
            </w:r>
            <w:proofErr w:type="spellEnd"/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 лісни</w:t>
            </w:r>
            <w:r w:rsidR="009C089B" w:rsidRPr="00155FA4">
              <w:rPr>
                <w:rFonts w:ascii="Times New Roman" w:eastAsia="Times New Roman" w:hAnsi="Times New Roman" w:cs="Times New Roman"/>
                <w:bCs/>
                <w:i/>
              </w:rPr>
              <w:t>цтва комунального підприємства «Лісопаркове господарство «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Конча-Заспа</w:t>
            </w:r>
            <w:r w:rsidR="009C089B" w:rsidRPr="00155FA4">
              <w:rPr>
                <w:rFonts w:ascii="Times New Roman" w:eastAsia="Times New Roman" w:hAnsi="Times New Roman" w:cs="Times New Roman"/>
                <w:bCs/>
                <w:i/>
              </w:rPr>
              <w:t>»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 віднесено до земель запасу рекреаційного призначення з виключенням їх з категорії земель лісового фонду (лист-згода Київського обласного управління лісового господарства від 08.09.2005</w:t>
            </w:r>
            <w:r w:rsidR="00E23096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№№ 01-04/694, </w:t>
            </w:r>
            <w:r w:rsidR="00E23096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01-04/693, 01-04/692, 01-04/695 та від 26.12.2006 </w:t>
            </w:r>
            <w:r w:rsidR="00E23096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 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№ 01-04/1390).</w:t>
            </w:r>
          </w:p>
        </w:tc>
      </w:tr>
      <w:tr w:rsidR="00447BB0" w:rsidRPr="00037B84" w14:paraId="08B5536C" w14:textId="77777777" w:rsidTr="00447BB0">
        <w:trPr>
          <w:cantSplit/>
          <w:trHeight w:val="7364"/>
        </w:trPr>
        <w:tc>
          <w:tcPr>
            <w:tcW w:w="2972" w:type="dxa"/>
          </w:tcPr>
          <w:p w14:paraId="06D5AA7B" w14:textId="564C04D8" w:rsidR="00447BB0" w:rsidRPr="002F2D3F" w:rsidRDefault="00447BB0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23ACB7F" w14:textId="16F1C5CE" w:rsidR="00447BB0" w:rsidRPr="00155FA4" w:rsidRDefault="00447BB0" w:rsidP="00635B5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Рішенням Київської міської ради від 29.10</w:t>
            </w:r>
            <w:r w:rsidR="00B1731B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2009 № 586/2655 Товариству передано в оренду на 5 років вказана земельна ділянка площею 5,1300 га для облаштування </w:t>
            </w:r>
            <w:proofErr w:type="spellStart"/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теренкурних</w:t>
            </w:r>
            <w:proofErr w:type="spellEnd"/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 маршрутів та будівництва спортивного знаряддя (з максимальним збереженням зелених насаджень) (для розширення учбово-спортивної бази «Конча-Заспа» на Столичному шосе, 45 (між існуючими футбольними полями та медико-реабілітаційним центром спортивної бази «Конча-Заспа») у Голосіївському районі (договір оренди від 04.10.2010 № 79-6-00785).</w:t>
            </w:r>
          </w:p>
          <w:p w14:paraId="5D9237A3" w14:textId="56C48599" w:rsidR="00447BB0" w:rsidRPr="00155FA4" w:rsidRDefault="00447BB0" w:rsidP="00635B5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Постійною комісією Київської міської ради з питань містобудування, архітектури та землекористування на засіданні 08.11.2016 (протокол № 25) вирішено поновити договір на 5 років (угода про поновлення від 31.05.2017                    № 167).</w:t>
            </w:r>
          </w:p>
          <w:p w14:paraId="43E1BD2D" w14:textId="470756DB" w:rsidR="00447BB0" w:rsidRPr="00155FA4" w:rsidRDefault="00447BB0" w:rsidP="00635B5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Термін дії договору до 31.05.2022.</w:t>
            </w:r>
          </w:p>
          <w:p w14:paraId="7F9BFCBA" w14:textId="4FDC47D7" w:rsidR="00447BB0" w:rsidRPr="00155FA4" w:rsidRDefault="00447BB0" w:rsidP="00635B5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Згідно з довідкою Цент</w:t>
            </w:r>
            <w:r w:rsidR="00B1731B">
              <w:rPr>
                <w:rFonts w:ascii="Times New Roman" w:eastAsia="Times New Roman" w:hAnsi="Times New Roman" w:cs="Times New Roman"/>
                <w:bCs/>
                <w:i/>
              </w:rPr>
              <w:t>р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ального МУ ДПС по роботі з ВПП                  від 26.05.2022 № 13524 станом на 26.05.2022 за Товариством податковий борг не обліковується.</w:t>
            </w:r>
          </w:p>
          <w:p w14:paraId="4DF9F192" w14:textId="089F0DDA" w:rsidR="00447BB0" w:rsidRDefault="00447BB0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5FA4">
              <w:rPr>
                <w:rFonts w:ascii="Times New Roman" w:hAnsi="Times New Roman" w:cs="Times New Roman"/>
                <w:i/>
                <w:color w:val="auto"/>
              </w:rPr>
              <w:t xml:space="preserve">Зважаючи на </w:t>
            </w:r>
            <w:r w:rsidR="005F57A4" w:rsidRPr="005F57A4">
              <w:rPr>
                <w:rFonts w:ascii="Times New Roman" w:hAnsi="Times New Roman" w:cs="Times New Roman"/>
                <w:i/>
                <w:color w:val="auto"/>
              </w:rPr>
              <w:t xml:space="preserve">лист Торгово-промислової палати України </w:t>
            </w:r>
            <w:r w:rsidR="005F57A4">
              <w:rPr>
                <w:rFonts w:ascii="Times New Roman" w:hAnsi="Times New Roman" w:cs="Times New Roman"/>
                <w:i/>
                <w:color w:val="auto"/>
              </w:rPr>
              <w:t xml:space="preserve">                   </w:t>
            </w:r>
            <w:r w:rsidR="005F57A4" w:rsidRPr="005F57A4">
              <w:rPr>
                <w:rFonts w:ascii="Times New Roman" w:hAnsi="Times New Roman" w:cs="Times New Roman"/>
                <w:i/>
                <w:color w:val="auto"/>
              </w:rPr>
              <w:t>від 28 лютого 2022 року № 2024/02.0-7.1</w:t>
            </w:r>
            <w:r w:rsidR="005F57A4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155FA4">
              <w:rPr>
                <w:rFonts w:ascii="Times New Roman" w:hAnsi="Times New Roman" w:cs="Times New Roman"/>
                <w:i/>
                <w:color w:val="auto"/>
              </w:rPr>
              <w:t xml:space="preserve">положення </w:t>
            </w:r>
            <w:r w:rsidR="005F57A4">
              <w:rPr>
                <w:rFonts w:ascii="Times New Roman" w:hAnsi="Times New Roman" w:cs="Times New Roman"/>
                <w:i/>
                <w:color w:val="auto"/>
              </w:rPr>
              <w:t xml:space="preserve">                  </w:t>
            </w:r>
            <w:bookmarkStart w:id="0" w:name="_GoBack"/>
            <w:bookmarkEnd w:id="0"/>
            <w:r w:rsidRPr="00155FA4">
              <w:rPr>
                <w:rFonts w:ascii="Times New Roman" w:hAnsi="Times New Roman" w:cs="Times New Roman"/>
                <w:i/>
                <w:color w:val="auto"/>
              </w:rPr>
              <w:t xml:space="preserve">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55FA4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155FA4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1429AD52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38812B0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0E322A">
        <w:rPr>
          <w:b/>
          <w:sz w:val="24"/>
          <w:szCs w:val="24"/>
          <w:shd w:val="clear" w:color="auto" w:fill="FFFFFF"/>
        </w:rPr>
        <w:t xml:space="preserve">908 243 грн </w:t>
      </w:r>
      <w:r w:rsidR="000E322A" w:rsidRPr="000E322A">
        <w:rPr>
          <w:b/>
          <w:sz w:val="24"/>
          <w:szCs w:val="24"/>
          <w:shd w:val="clear" w:color="auto" w:fill="FFFFFF"/>
        </w:rPr>
        <w:t xml:space="preserve">07 </w:t>
      </w:r>
      <w:r>
        <w:rPr>
          <w:b/>
          <w:sz w:val="24"/>
          <w:szCs w:val="24"/>
          <w:shd w:val="clear" w:color="auto" w:fill="FFFFFF"/>
        </w:rPr>
        <w:t>грн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0E322A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880B145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447BB0">
        <w:rPr>
          <w:i w:val="0"/>
          <w:sz w:val="24"/>
          <w:szCs w:val="24"/>
        </w:rPr>
        <w:t>.</w:t>
      </w:r>
    </w:p>
    <w:p w14:paraId="5E3CBED8" w14:textId="77777777" w:rsidR="00D17053" w:rsidRDefault="00D17053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7D3B125F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AF51A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9"/>
      <w:footerReference w:type="default" r:id="rId20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F51AA">
          <w:rPr>
            <w:i w:val="0"/>
            <w:sz w:val="12"/>
            <w:szCs w:val="12"/>
            <w:lang w:val="ru-RU"/>
          </w:rPr>
          <w:t>-41690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AF51AA">
          <w:rPr>
            <w:i w:val="0"/>
            <w:sz w:val="12"/>
            <w:szCs w:val="12"/>
            <w:lang w:val="ru-RU"/>
          </w:rPr>
          <w:t>08.06.2022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AF51AA">
          <w:rPr>
            <w:i w:val="0"/>
            <w:sz w:val="12"/>
            <w:szCs w:val="12"/>
            <w:lang w:val="ru-RU"/>
          </w:rPr>
          <w:t>651380578</w:t>
        </w:r>
      </w:p>
      <w:p w14:paraId="0BF67CBB" w14:textId="61FAA7E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F57A4" w:rsidRPr="005F57A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22A"/>
    <w:rsid w:val="000E3D00"/>
    <w:rsid w:val="00101DAD"/>
    <w:rsid w:val="001121A7"/>
    <w:rsid w:val="00117719"/>
    <w:rsid w:val="001239A5"/>
    <w:rsid w:val="00123E08"/>
    <w:rsid w:val="0012525A"/>
    <w:rsid w:val="00150E38"/>
    <w:rsid w:val="001520B5"/>
    <w:rsid w:val="00155FA4"/>
    <w:rsid w:val="00170CE7"/>
    <w:rsid w:val="0018193A"/>
    <w:rsid w:val="00184E7D"/>
    <w:rsid w:val="00187D5B"/>
    <w:rsid w:val="00195777"/>
    <w:rsid w:val="001A4B62"/>
    <w:rsid w:val="001B1510"/>
    <w:rsid w:val="001C02A9"/>
    <w:rsid w:val="001C3099"/>
    <w:rsid w:val="001D01E5"/>
    <w:rsid w:val="001D7910"/>
    <w:rsid w:val="001E09C8"/>
    <w:rsid w:val="001E2C1F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47438"/>
    <w:rsid w:val="003525A6"/>
    <w:rsid w:val="0035749D"/>
    <w:rsid w:val="003842F5"/>
    <w:rsid w:val="00385014"/>
    <w:rsid w:val="00397318"/>
    <w:rsid w:val="003A7BE2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47BB0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5F539C"/>
    <w:rsid w:val="005F57A4"/>
    <w:rsid w:val="00603291"/>
    <w:rsid w:val="00617D3B"/>
    <w:rsid w:val="006200AE"/>
    <w:rsid w:val="00632091"/>
    <w:rsid w:val="00635B57"/>
    <w:rsid w:val="00640E94"/>
    <w:rsid w:val="00641A5F"/>
    <w:rsid w:val="006638C7"/>
    <w:rsid w:val="00664BE9"/>
    <w:rsid w:val="00664F25"/>
    <w:rsid w:val="006661D8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94C38"/>
    <w:rsid w:val="007B17DC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7A"/>
    <w:rsid w:val="009131FA"/>
    <w:rsid w:val="00934E19"/>
    <w:rsid w:val="009358DE"/>
    <w:rsid w:val="009674CE"/>
    <w:rsid w:val="00982A07"/>
    <w:rsid w:val="009C089B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AF51AA"/>
    <w:rsid w:val="00B064DC"/>
    <w:rsid w:val="00B15D9C"/>
    <w:rsid w:val="00B1731B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381F"/>
    <w:rsid w:val="00BA5124"/>
    <w:rsid w:val="00BC3626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7053"/>
    <w:rsid w:val="00D2458C"/>
    <w:rsid w:val="00D369E0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3096"/>
    <w:rsid w:val="00E27308"/>
    <w:rsid w:val="00E40910"/>
    <w:rsid w:val="00E5752E"/>
    <w:rsid w:val="00E7338E"/>
    <w:rsid w:val="00E77A9B"/>
    <w:rsid w:val="00E94376"/>
    <w:rsid w:val="00EA1AC5"/>
    <w:rsid w:val="00EB297C"/>
    <w:rsid w:val="00EE25C6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unhideWhenUsed/>
    <w:rsid w:val="00AF51AA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AF51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AF51AA"/>
  </w:style>
  <w:style w:type="character" w:customStyle="1" w:styleId="name">
    <w:name w:val="name"/>
    <w:basedOn w:val="a0"/>
    <w:rsid w:val="00AF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541359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421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9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433548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674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0035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9109-B255-4283-B439-2A783C59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9515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Поп Лілія Володимирівна</cp:lastModifiedBy>
  <cp:revision>10</cp:revision>
  <cp:lastPrinted>2022-06-10T11:43:00Z</cp:lastPrinted>
  <dcterms:created xsi:type="dcterms:W3CDTF">2022-06-08T13:06:00Z</dcterms:created>
  <dcterms:modified xsi:type="dcterms:W3CDTF">2022-06-14T07:54:00Z</dcterms:modified>
</cp:coreProperties>
</file>