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02E3" w14:textId="77777777" w:rsidR="004F0681" w:rsidRPr="00104BBD" w:rsidRDefault="003774B2" w:rsidP="003774B2">
      <w:pPr>
        <w:spacing w:line="1" w:lineRule="exact"/>
        <w:rPr>
          <w:color w:val="auto"/>
        </w:rPr>
      </w:pPr>
      <w:r w:rsidRPr="00104BBD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2E18376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651442765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8F041AD">
                <v:stroke joinstyle="miter"/>
                <v:path gradientshapeok="t" o:connecttype="rect"/>
              </v:shapetype>
              <v:shape id="Shape 3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>
                <v:textbox inset="0,0,0,0">
                  <w:txbxContent>
                    <w:p w:rsidR="004F0681" w:rsidP="007B7541" w:rsidRDefault="00604821" w14:paraId="56B912FB" w14:textId="22E18376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:rsidRPr="007B7541" w:rsidR="004F0681" w:rsidP="007B7541" w:rsidRDefault="00604821" w14:paraId="151A1C00" w14:textId="77777777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7B7541" w:rsidR="00C97F46">
                        <w:rPr>
                          <w:b/>
                          <w:bCs/>
                          <w:sz w:val="24"/>
                          <w:szCs w:val="24"/>
                        </w:rPr>
                        <w:t xml:space="preserve">651442765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104BBD" w:rsidRDefault="00604821" w:rsidP="003774B2">
      <w:pPr>
        <w:pStyle w:val="30"/>
        <w:shd w:val="clear" w:color="auto" w:fill="auto"/>
        <w:ind w:left="851" w:firstLine="0"/>
        <w:rPr>
          <w:color w:val="auto"/>
          <w:sz w:val="36"/>
          <w:szCs w:val="36"/>
        </w:rPr>
      </w:pPr>
      <w:r w:rsidRPr="00104BBD">
        <w:rPr>
          <w:color w:val="auto"/>
          <w:sz w:val="36"/>
          <w:szCs w:val="36"/>
        </w:rPr>
        <w:t>ПОЯСНЮВАЛЬНА ЗАПИСКА</w:t>
      </w:r>
    </w:p>
    <w:p w14:paraId="3B3E8953" w14:textId="56C9266D" w:rsidR="004F0681" w:rsidRPr="00104BBD" w:rsidRDefault="009B470E" w:rsidP="003774B2">
      <w:pPr>
        <w:pStyle w:val="1"/>
        <w:shd w:val="clear" w:color="auto" w:fill="auto"/>
        <w:spacing w:after="0"/>
        <w:ind w:left="2127" w:firstLine="0"/>
        <w:rPr>
          <w:color w:val="auto"/>
          <w:sz w:val="24"/>
          <w:szCs w:val="24"/>
        </w:rPr>
      </w:pPr>
      <w:r w:rsidRPr="00104BBD">
        <w:rPr>
          <w:b/>
          <w:i/>
          <w:iCs/>
          <w:noProof/>
          <w:color w:val="auto"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1D0340A0">
            <wp:simplePos x="0" y="0"/>
            <wp:positionH relativeFrom="column">
              <wp:posOffset>4964297</wp:posOffset>
            </wp:positionH>
            <wp:positionV relativeFrom="paragraph">
              <wp:posOffset>5355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104BBD">
        <w:rPr>
          <w:b/>
          <w:bCs/>
          <w:color w:val="auto"/>
          <w:sz w:val="24"/>
          <w:szCs w:val="24"/>
        </w:rPr>
        <w:t xml:space="preserve">№ </w:t>
      </w:r>
      <w:r w:rsidR="007B7541" w:rsidRPr="00645CDD">
        <w:rPr>
          <w:b/>
          <w:bCs/>
          <w:color w:val="auto"/>
          <w:sz w:val="24"/>
          <w:szCs w:val="24"/>
        </w:rPr>
        <w:t>ПЗН-64776</w:t>
      </w:r>
      <w:r w:rsidR="00604821" w:rsidRPr="00104BBD">
        <w:rPr>
          <w:b/>
          <w:bCs/>
          <w:color w:val="auto"/>
          <w:sz w:val="24"/>
          <w:szCs w:val="24"/>
        </w:rPr>
        <w:t xml:space="preserve"> від </w:t>
      </w:r>
      <w:r w:rsidR="00466C3C" w:rsidRPr="00645CDD">
        <w:rPr>
          <w:b/>
          <w:bCs/>
          <w:color w:val="auto"/>
          <w:sz w:val="24"/>
          <w:szCs w:val="24"/>
        </w:rPr>
        <w:t>05.04.2024</w:t>
      </w:r>
    </w:p>
    <w:p w14:paraId="69271402" w14:textId="13473D8D" w:rsidR="004F0681" w:rsidRPr="00104BBD" w:rsidRDefault="00604821" w:rsidP="003774B2">
      <w:pPr>
        <w:pStyle w:val="1"/>
        <w:shd w:val="clear" w:color="auto" w:fill="auto"/>
        <w:spacing w:after="0"/>
        <w:ind w:left="567" w:right="3481" w:firstLine="720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 xml:space="preserve">до </w:t>
      </w:r>
      <w:r w:rsidR="00B602DB" w:rsidRPr="00104BBD">
        <w:rPr>
          <w:color w:val="auto"/>
          <w:sz w:val="24"/>
          <w:szCs w:val="24"/>
        </w:rPr>
        <w:t>проєкт</w:t>
      </w:r>
      <w:r w:rsidRPr="00104BBD">
        <w:rPr>
          <w:color w:val="auto"/>
          <w:sz w:val="24"/>
          <w:szCs w:val="24"/>
        </w:rPr>
        <w:t>у рішення Київської міської ради:</w:t>
      </w:r>
      <w:r w:rsidR="003568E0" w:rsidRPr="00104BBD">
        <w:rPr>
          <w:noProof/>
          <w:color w:val="auto"/>
          <w:sz w:val="24"/>
          <w:szCs w:val="24"/>
        </w:rPr>
        <w:t xml:space="preserve"> </w:t>
      </w:r>
    </w:p>
    <w:p w14:paraId="3D808EFA" w14:textId="40FA5C33" w:rsidR="00E17376" w:rsidRDefault="00645CDD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b/>
          <w:bCs/>
          <w:i/>
          <w:iCs/>
          <w:color w:val="auto"/>
          <w:sz w:val="24"/>
          <w:szCs w:val="24"/>
          <w:lang w:val="ru-RU"/>
        </w:rPr>
      </w:pPr>
      <w:r w:rsidRPr="00645CDD">
        <w:rPr>
          <w:b/>
          <w:bCs/>
          <w:i/>
          <w:iCs/>
          <w:color w:val="auto"/>
          <w:sz w:val="24"/>
          <w:szCs w:val="24"/>
          <w:lang w:val="ru-RU"/>
        </w:rPr>
        <w:t xml:space="preserve">Про передачу громадянці Черняк Валентині Петрівні у приватну власність земельної ділянки для колективного садівництва на </w:t>
      </w:r>
      <w:r w:rsidR="0072386B" w:rsidRPr="0072386B">
        <w:rPr>
          <w:b/>
          <w:bCs/>
          <w:i/>
          <w:iCs/>
          <w:color w:val="auto"/>
          <w:sz w:val="24"/>
          <w:szCs w:val="24"/>
          <w:lang w:val="ru-RU"/>
        </w:rPr>
        <w:t xml:space="preserve">              </w:t>
      </w:r>
      <w:r w:rsidRPr="00645CDD">
        <w:rPr>
          <w:b/>
          <w:bCs/>
          <w:i/>
          <w:iCs/>
          <w:color w:val="auto"/>
          <w:sz w:val="24"/>
          <w:szCs w:val="24"/>
          <w:lang w:val="ru-RU"/>
        </w:rPr>
        <w:t>вул. Соборній, 10 (ОБСЛУГОВУЮЧИЙ КООПЕРАТИВ «САДОВО-ДАЧНИЙ КООПЕРАТИВ «ОРХІДЕЯ-3») у Дарницькому районі міста Києва, мікрорайон Осокорки</w:t>
      </w:r>
    </w:p>
    <w:p w14:paraId="40D5417F" w14:textId="77777777" w:rsidR="00645CDD" w:rsidRPr="00104BBD" w:rsidRDefault="00645CDD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color w:val="auto"/>
          <w:sz w:val="24"/>
          <w:szCs w:val="24"/>
        </w:rPr>
      </w:pPr>
    </w:p>
    <w:p w14:paraId="07F9F426" w14:textId="53375CD9" w:rsidR="004F0681" w:rsidRPr="00104BBD" w:rsidRDefault="00604821" w:rsidP="00E659C4">
      <w:pPr>
        <w:pStyle w:val="1"/>
        <w:numPr>
          <w:ilvl w:val="0"/>
          <w:numId w:val="3"/>
        </w:numPr>
        <w:shd w:val="clear" w:color="auto" w:fill="auto"/>
        <w:spacing w:after="0"/>
        <w:rPr>
          <w:b/>
          <w:bCs/>
          <w:color w:val="auto"/>
          <w:sz w:val="24"/>
          <w:szCs w:val="24"/>
          <w:lang w:val="ru-RU"/>
        </w:rPr>
      </w:pPr>
      <w:r w:rsidRPr="00104BBD">
        <w:rPr>
          <w:b/>
          <w:bCs/>
          <w:color w:val="auto"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6230"/>
      </w:tblGrid>
      <w:tr w:rsidR="00104BBD" w:rsidRPr="00104BBD" w14:paraId="227D063B" w14:textId="77777777" w:rsidTr="00E659C4">
        <w:tc>
          <w:tcPr>
            <w:tcW w:w="3686" w:type="dxa"/>
          </w:tcPr>
          <w:p w14:paraId="43A3D85C" w14:textId="7E933004" w:rsidR="00E659C4" w:rsidRPr="00104BBD" w:rsidRDefault="00645CDD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i/>
                <w:color w:val="auto"/>
                <w:sz w:val="24"/>
                <w:szCs w:val="24"/>
              </w:rPr>
              <w:t>ПІБ</w:t>
            </w:r>
            <w:r w:rsidR="00E659C4" w:rsidRPr="00104BBD">
              <w:rPr>
                <w:i/>
                <w:color w:val="auto"/>
                <w:sz w:val="24"/>
                <w:szCs w:val="24"/>
              </w:rPr>
              <w:t xml:space="preserve">:                </w:t>
            </w:r>
          </w:p>
        </w:tc>
        <w:tc>
          <w:tcPr>
            <w:tcW w:w="6849" w:type="dxa"/>
          </w:tcPr>
          <w:p w14:paraId="7FB01E08" w14:textId="5C563530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Черняк Валентина Петрівна</w:t>
            </w:r>
          </w:p>
        </w:tc>
      </w:tr>
      <w:tr w:rsidR="00104BBD" w:rsidRPr="00104BBD" w14:paraId="6F780FF0" w14:textId="77777777" w:rsidTr="00E659C4">
        <w:tc>
          <w:tcPr>
            <w:tcW w:w="3686" w:type="dxa"/>
          </w:tcPr>
          <w:p w14:paraId="3164B983" w14:textId="3A27AF02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849" w:type="dxa"/>
          </w:tcPr>
          <w:p w14:paraId="002D9349" w14:textId="32759DAF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</w:rPr>
            </w:pP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від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26.03.2024</w:t>
            </w: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 номер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651442765</w:t>
            </w:r>
          </w:p>
        </w:tc>
      </w:tr>
      <w:tr w:rsidR="00104BBD" w:rsidRPr="00104BBD" w14:paraId="2C1E3F36" w14:textId="77777777" w:rsidTr="00E659C4">
        <w:tc>
          <w:tcPr>
            <w:tcW w:w="3686" w:type="dxa"/>
          </w:tcPr>
          <w:p w14:paraId="6C0861C6" w14:textId="4DFAE228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849" w:type="dxa"/>
          </w:tcPr>
          <w:p w14:paraId="189BCD43" w14:textId="77777777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0B07FA8E" w14:textId="67031D5F" w:rsidR="004F0681" w:rsidRPr="00104BBD" w:rsidRDefault="00604821" w:rsidP="003774B2">
      <w:pPr>
        <w:pStyle w:val="a7"/>
        <w:shd w:val="clear" w:color="auto" w:fill="auto"/>
        <w:spacing w:line="240" w:lineRule="auto"/>
        <w:ind w:left="284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2. Відомості про земельну ділянку (</w:t>
      </w:r>
      <w:r w:rsidR="00247072">
        <w:rPr>
          <w:color w:val="auto"/>
          <w:sz w:val="24"/>
          <w:szCs w:val="24"/>
        </w:rPr>
        <w:t xml:space="preserve">кадастровий </w:t>
      </w:r>
      <w:r w:rsidRPr="00104BBD">
        <w:rPr>
          <w:color w:val="auto"/>
          <w:sz w:val="24"/>
          <w:szCs w:val="24"/>
        </w:rPr>
        <w:t xml:space="preserve">№ </w:t>
      </w:r>
      <w:r w:rsidR="00765699" w:rsidRPr="00104BBD">
        <w:rPr>
          <w:color w:val="auto"/>
          <w:sz w:val="24"/>
          <w:szCs w:val="24"/>
        </w:rPr>
        <w:t>8000000000:96:028:0032</w:t>
      </w:r>
      <w:r w:rsidRPr="00104BBD">
        <w:rPr>
          <w:color w:val="auto"/>
          <w:sz w:val="24"/>
          <w:szCs w:val="24"/>
        </w:rPr>
        <w:t>)</w:t>
      </w:r>
      <w:r w:rsidR="00AB25E8">
        <w:rPr>
          <w:color w:val="auto"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21"/>
        <w:gridCol w:w="6208"/>
      </w:tblGrid>
      <w:tr w:rsidR="00104BBD" w:rsidRPr="00104BBD" w14:paraId="4ACF000F" w14:textId="77777777" w:rsidTr="00B509A0">
        <w:tc>
          <w:tcPr>
            <w:tcW w:w="3652" w:type="dxa"/>
          </w:tcPr>
          <w:p w14:paraId="769D59FF" w14:textId="7CF414FD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662" w:type="dxa"/>
          </w:tcPr>
          <w:p w14:paraId="0D9290F0" w14:textId="137B7D49" w:rsidR="00FE13EB" w:rsidRPr="0061239E" w:rsidRDefault="00FE13EB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61239E">
              <w:rPr>
                <w:b w:val="0"/>
                <w:i/>
                <w:color w:val="auto"/>
                <w:sz w:val="24"/>
                <w:szCs w:val="24"/>
              </w:rPr>
              <w:t xml:space="preserve">вул. Соборна, 10, </w:t>
            </w:r>
            <w:r w:rsidR="00B1548A" w:rsidRPr="00B1548A">
              <w:rPr>
                <w:b w:val="0"/>
                <w:i/>
                <w:iCs/>
                <w:color w:val="auto"/>
                <w:sz w:val="24"/>
                <w:szCs w:val="24"/>
                <w:lang w:val="ru-RU"/>
              </w:rPr>
              <w:t>Дарницький район міста Києва, обслуговуючий кооператив «Садово-дачний кооператив «ОРХІДЕЯ-3», мікрорайон Осокорки</w:t>
            </w:r>
          </w:p>
        </w:tc>
      </w:tr>
      <w:tr w:rsidR="00104BBD" w:rsidRPr="00104BBD" w14:paraId="7FA17F85" w14:textId="77777777" w:rsidTr="00B509A0">
        <w:tc>
          <w:tcPr>
            <w:tcW w:w="3652" w:type="dxa"/>
          </w:tcPr>
          <w:p w14:paraId="0242141F" w14:textId="3AD62041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662" w:type="dxa"/>
          </w:tcPr>
          <w:p w14:paraId="3C0AA67B" w14:textId="76F7B337" w:rsidR="00E659C4" w:rsidRPr="0061239E" w:rsidRDefault="00672A8A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61239E">
              <w:rPr>
                <w:b w:val="0"/>
                <w:i/>
                <w:color w:val="auto"/>
                <w:sz w:val="24"/>
                <w:szCs w:val="24"/>
              </w:rPr>
              <w:t>0,1155 га</w:t>
            </w:r>
          </w:p>
        </w:tc>
      </w:tr>
      <w:tr w:rsidR="00104BBD" w:rsidRPr="00104BBD" w14:paraId="34526A38" w14:textId="77777777" w:rsidTr="00B509A0">
        <w:tc>
          <w:tcPr>
            <w:tcW w:w="3652" w:type="dxa"/>
          </w:tcPr>
          <w:p w14:paraId="71A6030E" w14:textId="4438FDD9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B1548A" w:rsidRPr="00104BBD">
              <w:rPr>
                <w:b w:val="0"/>
                <w:i/>
                <w:color w:val="auto"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662" w:type="dxa"/>
          </w:tcPr>
          <w:p w14:paraId="08D0261A" w14:textId="00FD3EC6" w:rsidR="00E659C4" w:rsidRPr="0061239E" w:rsidRDefault="00B1548A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B1548A">
              <w:rPr>
                <w:b w:val="0"/>
                <w:i/>
                <w:iCs/>
                <w:color w:val="auto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E659C4" w:rsidRPr="00104BBD" w14:paraId="31D36722" w14:textId="77777777" w:rsidTr="00B509A0">
        <w:tc>
          <w:tcPr>
            <w:tcW w:w="3652" w:type="dxa"/>
          </w:tcPr>
          <w:p w14:paraId="58C1B7B7" w14:textId="0544DAE9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B1548A" w:rsidRPr="00826FBE">
              <w:rPr>
                <w:b w:val="0"/>
                <w:i/>
                <w:color w:val="auto"/>
                <w:sz w:val="24"/>
                <w:szCs w:val="24"/>
              </w:rPr>
              <w:t xml:space="preserve">Категорія земель:                     </w:t>
            </w:r>
          </w:p>
        </w:tc>
        <w:tc>
          <w:tcPr>
            <w:tcW w:w="6662" w:type="dxa"/>
          </w:tcPr>
          <w:p w14:paraId="1AB1CB5D" w14:textId="67559715" w:rsidR="00E659C4" w:rsidRPr="0061239E" w:rsidRDefault="00B1548A" w:rsidP="0061239E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B1548A">
              <w:rPr>
                <w:b w:val="0"/>
                <w:i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B1548A" w:rsidRPr="00104BBD" w14:paraId="6B3CBB28" w14:textId="77777777" w:rsidTr="00B509A0">
        <w:tc>
          <w:tcPr>
            <w:tcW w:w="3652" w:type="dxa"/>
          </w:tcPr>
          <w:p w14:paraId="1F0CF369" w14:textId="6ED8406D" w:rsidR="00B1548A" w:rsidRDefault="00B1548A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B1548A">
              <w:rPr>
                <w:b w:val="0"/>
                <w:i/>
                <w:color w:val="auto"/>
                <w:sz w:val="24"/>
                <w:szCs w:val="24"/>
              </w:rPr>
              <w:t xml:space="preserve">Цільове призначення:                    </w:t>
            </w:r>
          </w:p>
        </w:tc>
        <w:tc>
          <w:tcPr>
            <w:tcW w:w="6662" w:type="dxa"/>
          </w:tcPr>
          <w:p w14:paraId="4EE2BB6A" w14:textId="037B82FE" w:rsidR="00B1548A" w:rsidRPr="00B1548A" w:rsidRDefault="00B1548A" w:rsidP="0061239E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826FBE">
              <w:rPr>
                <w:b w:val="0"/>
                <w:i/>
                <w:iCs/>
                <w:color w:val="auto"/>
                <w:sz w:val="24"/>
                <w:szCs w:val="24"/>
              </w:rPr>
              <w:t xml:space="preserve">01.06 </w:t>
            </w:r>
            <w:r w:rsidRPr="00826FBE">
              <w:rPr>
                <w:b w:val="0"/>
                <w:i/>
                <w:iCs/>
                <w:color w:val="auto"/>
                <w:sz w:val="24"/>
                <w:szCs w:val="24"/>
                <w:lang w:val="en-US"/>
              </w:rPr>
              <w:t>для колективного садівництва</w:t>
            </w:r>
          </w:p>
        </w:tc>
      </w:tr>
    </w:tbl>
    <w:p w14:paraId="25862FF5" w14:textId="77777777" w:rsidR="004F0681" w:rsidRPr="00104BBD" w:rsidRDefault="004F0681" w:rsidP="003774B2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7EAA0B3" w14:textId="17A32AF6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672A8A">
        <w:rPr>
          <w:b/>
          <w:bCs/>
          <w:color w:val="auto"/>
          <w:sz w:val="24"/>
          <w:szCs w:val="24"/>
          <w:lang w:val="ru-RU"/>
        </w:rPr>
        <w:t>.</w:t>
      </w:r>
    </w:p>
    <w:p w14:paraId="009A27CF" w14:textId="0D6F7D49" w:rsidR="004467CB" w:rsidRDefault="004467CB" w:rsidP="00BA02ED">
      <w:pPr>
        <w:pStyle w:val="1"/>
        <w:shd w:val="clear" w:color="auto" w:fill="auto"/>
        <w:spacing w:after="40" w:line="233" w:lineRule="auto"/>
        <w:jc w:val="both"/>
        <w:rPr>
          <w:color w:val="auto"/>
          <w:sz w:val="24"/>
          <w:szCs w:val="24"/>
        </w:rPr>
      </w:pPr>
      <w:r w:rsidRPr="004467CB">
        <w:rPr>
          <w:color w:val="auto"/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61239E">
        <w:rPr>
          <w:color w:val="auto"/>
          <w:sz w:val="24"/>
          <w:szCs w:val="24"/>
        </w:rPr>
        <w:t xml:space="preserve">               </w:t>
      </w:r>
      <w:r w:rsidRPr="004467CB">
        <w:rPr>
          <w:color w:val="auto"/>
          <w:sz w:val="24"/>
          <w:szCs w:val="24"/>
        </w:rPr>
        <w:t>від 20</w:t>
      </w:r>
      <w:r w:rsidR="00955CE8">
        <w:rPr>
          <w:color w:val="auto"/>
          <w:sz w:val="24"/>
          <w:szCs w:val="24"/>
        </w:rPr>
        <w:t>.04.</w:t>
      </w:r>
      <w:r w:rsidRPr="004467CB">
        <w:rPr>
          <w:color w:val="auto"/>
          <w:sz w:val="24"/>
          <w:szCs w:val="24"/>
        </w:rPr>
        <w:t>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«</w:t>
      </w:r>
      <w:r w:rsidR="00B1548A" w:rsidRPr="00B1548A">
        <w:rPr>
          <w:bCs/>
          <w:iCs/>
          <w:color w:val="auto"/>
          <w:sz w:val="24"/>
          <w:szCs w:val="24"/>
        </w:rPr>
        <w:t xml:space="preserve">Про передачу громадянці Черняк Валентині Петрівні у приватну власність земельної ділянки для колективного садівництва на вул. </w:t>
      </w:r>
      <w:r w:rsidR="00B1548A" w:rsidRPr="00B1548A">
        <w:rPr>
          <w:bCs/>
          <w:iCs/>
          <w:color w:val="auto"/>
          <w:sz w:val="24"/>
          <w:szCs w:val="24"/>
          <w:lang w:val="ru-RU"/>
        </w:rPr>
        <w:t>Соборній, 10 (ОБСЛУГОВУЮЧИЙ КООПЕРАТИВ «САДОВО-ДАЧНИЙ КООПЕРАТИВ «ОРХІДЕЯ-3») у Дарницькому районі міста Києва, мікрорайон Осокорки</w:t>
      </w:r>
      <w:r>
        <w:rPr>
          <w:color w:val="auto"/>
          <w:sz w:val="24"/>
          <w:szCs w:val="24"/>
        </w:rPr>
        <w:t>»</w:t>
      </w:r>
      <w:r w:rsidRPr="004467CB">
        <w:rPr>
          <w:color w:val="auto"/>
          <w:sz w:val="24"/>
          <w:szCs w:val="24"/>
        </w:rPr>
        <w:t>.</w:t>
      </w:r>
    </w:p>
    <w:p w14:paraId="42CDBEB9" w14:textId="77777777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Мета прийняття рішення.</w:t>
      </w:r>
    </w:p>
    <w:p w14:paraId="4203E6B7" w14:textId="02636D23" w:rsidR="00B1548A" w:rsidRPr="00104BBD" w:rsidRDefault="00B1548A" w:rsidP="003774B2">
      <w:pPr>
        <w:pStyle w:val="1"/>
        <w:shd w:val="clear" w:color="auto" w:fill="auto"/>
        <w:spacing w:after="120" w:line="233" w:lineRule="auto"/>
        <w:jc w:val="both"/>
        <w:rPr>
          <w:color w:val="auto"/>
          <w:sz w:val="24"/>
          <w:szCs w:val="24"/>
        </w:rPr>
      </w:pPr>
      <w:r w:rsidRPr="00B1548A">
        <w:rPr>
          <w:color w:val="auto"/>
          <w:sz w:val="24"/>
          <w:szCs w:val="24"/>
        </w:rPr>
        <w:t>Метою прийняття рішення є забезпечення реалізації встановленого Земельним кодексом України права громадянки на оформлення права власності на землю.</w:t>
      </w:r>
    </w:p>
    <w:p w14:paraId="02499919" w14:textId="5581498E" w:rsidR="00765699" w:rsidRPr="0061239E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3515"/>
        <w:gridCol w:w="6124"/>
      </w:tblGrid>
      <w:tr w:rsidR="00104BBD" w:rsidRPr="00104BBD" w14:paraId="4A887E4C" w14:textId="77777777" w:rsidTr="0061239E">
        <w:trPr>
          <w:cantSplit/>
        </w:trPr>
        <w:tc>
          <w:tcPr>
            <w:tcW w:w="3515" w:type="dxa"/>
          </w:tcPr>
          <w:p w14:paraId="5C83180A" w14:textId="78DB3AFA" w:rsidR="00E12AC0" w:rsidRPr="0061239E" w:rsidRDefault="008816C2" w:rsidP="0061239E">
            <w:pPr>
              <w:pStyle w:val="1"/>
              <w:shd w:val="clear" w:color="auto" w:fill="auto"/>
              <w:spacing w:after="0"/>
              <w:ind w:left="-83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 xml:space="preserve">Наявність будівель </w:t>
            </w:r>
          </w:p>
          <w:p w14:paraId="2C3E2E2C" w14:textId="0D727AA4" w:rsidR="00E12AC0" w:rsidRPr="0061239E" w:rsidRDefault="008816C2" w:rsidP="0061239E">
            <w:pPr>
              <w:pStyle w:val="20"/>
              <w:shd w:val="clear" w:color="auto" w:fill="auto"/>
              <w:spacing w:line="209" w:lineRule="auto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і споруд на ділянці:</w:t>
            </w:r>
          </w:p>
        </w:tc>
        <w:tc>
          <w:tcPr>
            <w:tcW w:w="6124" w:type="dxa"/>
          </w:tcPr>
          <w:p w14:paraId="687E2619" w14:textId="607E443E" w:rsidR="00E12AC0" w:rsidRPr="00104BBD" w:rsidRDefault="00B1548A" w:rsidP="000B611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B1548A">
              <w:rPr>
                <w:i/>
                <w:color w:val="auto"/>
                <w:sz w:val="24"/>
                <w:szCs w:val="24"/>
              </w:rPr>
              <w:t xml:space="preserve">Земельна ділянка забудована садовим (дачним) будинком загальною площею </w:t>
            </w:r>
            <w:r>
              <w:rPr>
                <w:i/>
                <w:color w:val="auto"/>
                <w:sz w:val="24"/>
                <w:szCs w:val="24"/>
              </w:rPr>
              <w:t>146,6</w:t>
            </w:r>
            <w:r w:rsidRPr="00B1548A">
              <w:rPr>
                <w:i/>
                <w:color w:val="auto"/>
                <w:sz w:val="24"/>
                <w:szCs w:val="24"/>
              </w:rPr>
              <w:t xml:space="preserve"> кв.м, який належить на праві приватної власності</w:t>
            </w:r>
            <w:r>
              <w:rPr>
                <w:i/>
                <w:color w:val="auto"/>
                <w:sz w:val="24"/>
                <w:szCs w:val="24"/>
              </w:rPr>
              <w:t xml:space="preserve"> Черняк Валентині Петрівні</w:t>
            </w:r>
            <w:r w:rsidRPr="00B1548A">
              <w:rPr>
                <w:i/>
                <w:color w:val="auto"/>
                <w:sz w:val="24"/>
                <w:szCs w:val="24"/>
              </w:rPr>
              <w:t xml:space="preserve">, реєстраційний номер об'єкта нерухомого </w:t>
            </w:r>
            <w:r>
              <w:rPr>
                <w:i/>
                <w:color w:val="auto"/>
                <w:sz w:val="24"/>
                <w:szCs w:val="24"/>
              </w:rPr>
              <w:t>майна 2299734080000</w:t>
            </w:r>
            <w:r w:rsidRPr="00B1548A">
              <w:rPr>
                <w:i/>
                <w:color w:val="auto"/>
                <w:sz w:val="24"/>
                <w:szCs w:val="24"/>
              </w:rPr>
              <w:t xml:space="preserve">, запис про право власності </w:t>
            </w:r>
            <w:r>
              <w:rPr>
                <w:i/>
                <w:color w:val="auto"/>
                <w:sz w:val="24"/>
                <w:szCs w:val="24"/>
              </w:rPr>
              <w:t>від 18.02.2021 № 40731041</w:t>
            </w:r>
            <w:r w:rsidRPr="00B1548A">
              <w:rPr>
                <w:i/>
                <w:color w:val="auto"/>
                <w:sz w:val="24"/>
                <w:szCs w:val="24"/>
              </w:rPr>
              <w:t xml:space="preserve"> (інформаційна довідка з Державного реєстру речових прав на нерухоме майно про реєстрацію права власності від </w:t>
            </w:r>
            <w:r w:rsidR="00687036" w:rsidRPr="00687036">
              <w:rPr>
                <w:i/>
                <w:color w:val="auto"/>
                <w:sz w:val="24"/>
                <w:szCs w:val="24"/>
                <w:lang w:val="ru-RU"/>
              </w:rPr>
              <w:t>08</w:t>
            </w:r>
            <w:r w:rsidR="00687036">
              <w:rPr>
                <w:i/>
                <w:color w:val="auto"/>
                <w:sz w:val="24"/>
                <w:szCs w:val="24"/>
              </w:rPr>
              <w:t>.04</w:t>
            </w:r>
            <w:r w:rsidRPr="00687036">
              <w:rPr>
                <w:i/>
                <w:color w:val="auto"/>
                <w:sz w:val="24"/>
                <w:szCs w:val="24"/>
              </w:rPr>
              <w:t>.2</w:t>
            </w:r>
            <w:r w:rsidR="00687036">
              <w:rPr>
                <w:i/>
                <w:color w:val="auto"/>
                <w:sz w:val="24"/>
                <w:szCs w:val="24"/>
              </w:rPr>
              <w:t>024 № 373265551</w:t>
            </w:r>
            <w:r w:rsidRPr="00687036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104BBD" w:rsidRPr="00104BBD" w14:paraId="44C55D8C" w14:textId="77777777" w:rsidTr="0061239E">
        <w:trPr>
          <w:cantSplit/>
        </w:trPr>
        <w:tc>
          <w:tcPr>
            <w:tcW w:w="3515" w:type="dxa"/>
          </w:tcPr>
          <w:p w14:paraId="7162150E" w14:textId="4172DBD4" w:rsidR="00E12AC0" w:rsidRPr="0061239E" w:rsidRDefault="008816C2" w:rsidP="0061239E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124" w:type="dxa"/>
          </w:tcPr>
          <w:p w14:paraId="5ACEA60E" w14:textId="3115FC54" w:rsidR="00E12AC0" w:rsidRPr="00104BBD" w:rsidRDefault="00C2624F" w:rsidP="000B611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Детальний план території </w:t>
            </w:r>
            <w:r w:rsidR="00E12AC0" w:rsidRPr="00104BBD">
              <w:rPr>
                <w:i/>
                <w:color w:val="auto"/>
                <w:sz w:val="24"/>
                <w:szCs w:val="24"/>
              </w:rPr>
              <w:t>відсутній.</w:t>
            </w:r>
          </w:p>
        </w:tc>
      </w:tr>
      <w:tr w:rsidR="00104BBD" w:rsidRPr="00104BBD" w14:paraId="53F755AF" w14:textId="77777777" w:rsidTr="0061239E">
        <w:trPr>
          <w:cantSplit/>
        </w:trPr>
        <w:tc>
          <w:tcPr>
            <w:tcW w:w="3515" w:type="dxa"/>
          </w:tcPr>
          <w:p w14:paraId="62A2A45D" w14:textId="2B94B4AD" w:rsidR="00E12AC0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F940DB" w:rsidRPr="0061239E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124" w:type="dxa"/>
          </w:tcPr>
          <w:p w14:paraId="14888231" w14:textId="78C5D722" w:rsidR="00E12AC0" w:rsidRPr="00104BBD" w:rsidRDefault="00B1548A" w:rsidP="0061239E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B1548A">
              <w:rPr>
                <w:i/>
                <w:color w:val="auto"/>
                <w:sz w:val="24"/>
                <w:szCs w:val="24"/>
              </w:rPr>
              <w:t>Відповідно до Генера</w:t>
            </w:r>
            <w:r w:rsidR="00F15E96">
              <w:rPr>
                <w:i/>
                <w:color w:val="auto"/>
                <w:sz w:val="24"/>
                <w:szCs w:val="24"/>
              </w:rPr>
              <w:t>льного плану міста Києва та прое</w:t>
            </w:r>
            <w:r w:rsidRPr="00B1548A">
              <w:rPr>
                <w:i/>
                <w:color w:val="auto"/>
                <w:sz w:val="24"/>
                <w:szCs w:val="24"/>
              </w:rPr>
              <w:t xml:space="preserve">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належить до території житлової садибної забудови (на розрахунковий період)                 (витяг з містобудівного кадастру від 17.07.2023           </w:t>
            </w:r>
            <w:r>
              <w:rPr>
                <w:i/>
                <w:color w:val="auto"/>
                <w:sz w:val="24"/>
                <w:szCs w:val="24"/>
              </w:rPr>
              <w:t xml:space="preserve">                № 2062</w:t>
            </w:r>
            <w:r w:rsidRPr="00B1548A">
              <w:rPr>
                <w:i/>
                <w:color w:val="auto"/>
                <w:sz w:val="24"/>
                <w:szCs w:val="24"/>
              </w:rPr>
              <w:t>/0/012/12-03-23, наданий Департаментом містобудування та архітектури виконавчого органу Київської міської ради (Київської міської державної адміністрації).</w:t>
            </w:r>
          </w:p>
        </w:tc>
      </w:tr>
      <w:tr w:rsidR="00104BBD" w:rsidRPr="00104BBD" w14:paraId="67EEAA64" w14:textId="77777777" w:rsidTr="0061239E">
        <w:trPr>
          <w:cantSplit/>
        </w:trPr>
        <w:tc>
          <w:tcPr>
            <w:tcW w:w="3515" w:type="dxa"/>
          </w:tcPr>
          <w:p w14:paraId="529F0A24" w14:textId="02E40F91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124" w:type="dxa"/>
          </w:tcPr>
          <w:p w14:paraId="3A54F2AD" w14:textId="4BAA85EF" w:rsidR="00765699" w:rsidRPr="00104BBD" w:rsidRDefault="00E94D09" w:rsidP="000B6110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>Земельна ділянка</w:t>
            </w:r>
            <w:r w:rsidR="00B46331" w:rsidRPr="00104BBD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104BBD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104BBD" w:rsidRPr="00104BBD" w14:paraId="23E5DE02" w14:textId="77777777" w:rsidTr="0061239E">
        <w:trPr>
          <w:cantSplit/>
        </w:trPr>
        <w:tc>
          <w:tcPr>
            <w:tcW w:w="3515" w:type="dxa"/>
          </w:tcPr>
          <w:p w14:paraId="4A0BAC79" w14:textId="0235E26E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124" w:type="dxa"/>
          </w:tcPr>
          <w:p w14:paraId="3CE4783F" w14:textId="77A50DAD" w:rsidR="00765699" w:rsidRPr="00104BBD" w:rsidRDefault="0064781D" w:rsidP="000B6110">
            <w:pPr>
              <w:tabs>
                <w:tab w:val="right" w:pos="6588"/>
              </w:tabs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104BBD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  <w:r w:rsidR="00B05B7A">
              <w:rPr>
                <w:rFonts w:ascii="Times New Roman" w:hAnsi="Times New Roman" w:cs="Times New Roman"/>
                <w:i/>
                <w:color w:val="auto"/>
              </w:rPr>
              <w:tab/>
            </w:r>
          </w:p>
        </w:tc>
      </w:tr>
      <w:tr w:rsidR="00765699" w:rsidRPr="00104BBD" w14:paraId="6A523C75" w14:textId="77777777" w:rsidTr="0061239E">
        <w:trPr>
          <w:cantSplit/>
        </w:trPr>
        <w:tc>
          <w:tcPr>
            <w:tcW w:w="3515" w:type="dxa"/>
          </w:tcPr>
          <w:p w14:paraId="4482B364" w14:textId="683C44A4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124" w:type="dxa"/>
          </w:tcPr>
          <w:p w14:paraId="61A51C8C" w14:textId="77777777" w:rsidR="00F15E96" w:rsidRPr="00F15E96" w:rsidRDefault="00F15E96" w:rsidP="00F15E9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27.02.2020                                  № 228/8398 обслуговуючому кооперативу «Садово - дачний кооператив «Орхідея-3» передано у довгострокову оренду на 10 років земельні ділянки для ведення колективного садівництва у мікрорайоні Осокорки Дарницького району м. Києва, зокрема і земельну ділянку площею 2,3669 га (кадастровий номер 8000000000:96:028:0001). Термін дії договору оренди земельної ділянки до 18.02.2031. </w:t>
            </w:r>
          </w:p>
          <w:p w14:paraId="164512AF" w14:textId="09D74D02" w:rsidR="00F15E96" w:rsidRPr="00F15E96" w:rsidRDefault="00F15E96" w:rsidP="00F15E9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На підставі технічної документації із землеустрою щодо поділу та об’єднання земельних ділянок, яку затверджено рішенням Київської міської ради                          від 18.05.2023 № 6375/6416, земельну ділянку площею            2,3669 га (кадастровий номер 8000000000:96:028:0001) поділено та сформовано 32 земельні ділянки, у тому числі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 земельну ділянку площею 0,1155</w:t>
            </w: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з кадастрови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 номером 8000000000:96:028:0032</w:t>
            </w: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72EA85A8" w14:textId="20F126C0" w:rsidR="00F15E96" w:rsidRPr="00F15E96" w:rsidRDefault="00F15E96" w:rsidP="00F15E9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передбачається передати громадя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нці Черняк В.П.</w:t>
            </w: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у власність земельну ділянку площею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0,1155</w:t>
            </w: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для колективного садівництва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на                                  вул. Соборній, 10</w:t>
            </w: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(обслуговуючий кооператив «Садово - дачний кооператив «Орхідея -3») у </w:t>
            </w: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Дарницькому району міста Києва</w:t>
            </w: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 мікрорайон Осокорки.</w:t>
            </w:r>
          </w:p>
          <w:p w14:paraId="2A16862D" w14:textId="70738BA8" w:rsidR="00F15E96" w:rsidRPr="00F15E96" w:rsidRDefault="00F15E96" w:rsidP="00F15E9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Нотаріально засвідченою заявою від 20.07.2023 зареєстрованою в реєстрі за № 1457, обслуговуючий кооператив «Садово - дачний кооператив «Орхідея -3» надав згоду на припинення права оренди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земельної ділянки площею 0,1155</w:t>
            </w: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(кадастровий номер  8000000000:96: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028:0032</w:t>
            </w: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).</w:t>
            </w:r>
          </w:p>
          <w:p w14:paraId="3D2647D6" w14:textId="77777777" w:rsidR="00F15E96" w:rsidRPr="00F15E96" w:rsidRDefault="00F15E96" w:rsidP="00F15E9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приватну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09EAE45" w14:textId="77777777" w:rsidR="00F15E96" w:rsidRPr="00F15E96" w:rsidRDefault="00F15E96" w:rsidP="00F15E9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6528D3CD" w14:textId="62903227" w:rsidR="00017352" w:rsidRPr="00104BBD" w:rsidRDefault="00F15E96" w:rsidP="00F15E9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F15E9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104BBD" w:rsidRDefault="00765699" w:rsidP="003774B2">
      <w:pPr>
        <w:rPr>
          <w:rFonts w:ascii="Times New Roman" w:hAnsi="Times New Roman" w:cs="Times New Roman"/>
          <w:i/>
          <w:color w:val="auto"/>
        </w:rPr>
      </w:pPr>
    </w:p>
    <w:p w14:paraId="6EF0FC17" w14:textId="77777777" w:rsidR="00114807" w:rsidRPr="00104BBD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7E2AECB4" w14:textId="7E1EC43C" w:rsidR="006A3391" w:rsidRDefault="006A3391" w:rsidP="006A3391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Загальні засади та порядок передачі земельних діл</w:t>
      </w:r>
      <w:r w:rsidR="00F15E96">
        <w:rPr>
          <w:color w:val="auto"/>
          <w:sz w:val="24"/>
          <w:szCs w:val="24"/>
        </w:rPr>
        <w:t>янок у власність</w:t>
      </w:r>
      <w:r w:rsidRPr="00104BBD">
        <w:rPr>
          <w:color w:val="auto"/>
          <w:sz w:val="24"/>
          <w:szCs w:val="24"/>
        </w:rPr>
        <w:t xml:space="preserve"> зацікавленим особам визначено Земельним кодексом України та Порядком набуття прав на землю із земель комунальної власності у місті Києві, затвер</w:t>
      </w:r>
      <w:r w:rsidR="00955CE8">
        <w:rPr>
          <w:color w:val="auto"/>
          <w:sz w:val="24"/>
          <w:szCs w:val="24"/>
        </w:rPr>
        <w:t xml:space="preserve">дженим рішенням </w:t>
      </w:r>
      <w:r w:rsidR="00B77004" w:rsidRPr="00B77004">
        <w:rPr>
          <w:color w:val="auto"/>
          <w:sz w:val="24"/>
          <w:szCs w:val="24"/>
        </w:rPr>
        <w:t xml:space="preserve">Київської міської ради </w:t>
      </w:r>
      <w:r w:rsidR="00955CE8">
        <w:rPr>
          <w:color w:val="auto"/>
          <w:sz w:val="24"/>
          <w:szCs w:val="24"/>
        </w:rPr>
        <w:t>від 20.04.</w:t>
      </w:r>
      <w:r w:rsidRPr="00104BBD">
        <w:rPr>
          <w:color w:val="auto"/>
          <w:sz w:val="24"/>
          <w:szCs w:val="24"/>
        </w:rPr>
        <w:t>2017 № 241/2463.</w:t>
      </w:r>
    </w:p>
    <w:p w14:paraId="3BEAD748" w14:textId="77777777" w:rsidR="00F15E96" w:rsidRPr="00F15E96" w:rsidRDefault="00F15E96" w:rsidP="00F15E96">
      <w:pPr>
        <w:pStyle w:val="1"/>
        <w:spacing w:after="0"/>
        <w:jc w:val="both"/>
        <w:rPr>
          <w:sz w:val="24"/>
          <w:szCs w:val="24"/>
        </w:rPr>
      </w:pPr>
      <w:r w:rsidRPr="00F15E96">
        <w:rPr>
          <w:sz w:val="24"/>
          <w:szCs w:val="24"/>
        </w:rPr>
        <w:t xml:space="preserve">Проєкт рішення містить інформацію про заявника, що відноситься до інформації з </w:t>
      </w:r>
      <w:r w:rsidRPr="00F15E96">
        <w:rPr>
          <w:sz w:val="24"/>
          <w:szCs w:val="24"/>
        </w:rPr>
        <w:lastRenderedPageBreak/>
        <w:t>обмеженим доступом в розумінні статті 6 Закону України «Про доступ до публічної інформації».</w:t>
      </w:r>
    </w:p>
    <w:p w14:paraId="3B51ACA3" w14:textId="77777777" w:rsidR="00F15E96" w:rsidRPr="00F15E96" w:rsidRDefault="00F15E96" w:rsidP="00F15E96">
      <w:pPr>
        <w:pStyle w:val="1"/>
        <w:shd w:val="clear" w:color="auto" w:fill="auto"/>
        <w:spacing w:after="0"/>
        <w:jc w:val="both"/>
        <w:rPr>
          <w:sz w:val="24"/>
          <w:szCs w:val="24"/>
        </w:rPr>
      </w:pPr>
      <w:r w:rsidRPr="00F15E96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007A10D8" w14:textId="77777777" w:rsidR="00D830BD" w:rsidRPr="00104BBD" w:rsidRDefault="00D830BD" w:rsidP="006A3391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</w:p>
    <w:p w14:paraId="410207E6" w14:textId="77777777" w:rsidR="00114807" w:rsidRPr="00104BBD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05F5E1CB" w14:textId="77777777" w:rsidR="00114807" w:rsidRPr="00104BBD" w:rsidRDefault="00114807" w:rsidP="003774B2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104BBD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34EC2858" w14:textId="06E51C5B" w:rsidR="00F15E96" w:rsidRPr="00104BBD" w:rsidRDefault="00F15E96" w:rsidP="00295A0E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  <w:r w:rsidRPr="00F15E96">
        <w:rPr>
          <w:color w:val="auto"/>
          <w:sz w:val="24"/>
          <w:szCs w:val="24"/>
        </w:rPr>
        <w:t>Наслідками прийняття розробленого проєкту рішен</w:t>
      </w:r>
      <w:r>
        <w:rPr>
          <w:color w:val="auto"/>
          <w:sz w:val="24"/>
          <w:szCs w:val="24"/>
        </w:rPr>
        <w:t>ня стане реалізація громадянкою</w:t>
      </w:r>
      <w:r w:rsidRPr="00F15E96">
        <w:rPr>
          <w:color w:val="auto"/>
          <w:sz w:val="24"/>
          <w:szCs w:val="24"/>
        </w:rPr>
        <w:t xml:space="preserve"> своїх </w:t>
      </w:r>
      <w:r>
        <w:rPr>
          <w:color w:val="auto"/>
          <w:sz w:val="24"/>
          <w:szCs w:val="24"/>
        </w:rPr>
        <w:t>прав на безоплатну передачу їй</w:t>
      </w:r>
      <w:r w:rsidRPr="00F15E96">
        <w:rPr>
          <w:color w:val="auto"/>
          <w:sz w:val="24"/>
          <w:szCs w:val="24"/>
        </w:rPr>
        <w:t xml:space="preserve"> у власність земельної ділянки із земель комунальної</w:t>
      </w:r>
      <w:r>
        <w:rPr>
          <w:color w:val="auto"/>
          <w:sz w:val="24"/>
          <w:szCs w:val="24"/>
        </w:rPr>
        <w:t xml:space="preserve"> власності, яка перебуває у її</w:t>
      </w:r>
      <w:r w:rsidRPr="00F15E96">
        <w:rPr>
          <w:color w:val="auto"/>
          <w:sz w:val="24"/>
          <w:szCs w:val="24"/>
        </w:rPr>
        <w:t xml:space="preserve"> користуванні.</w:t>
      </w:r>
    </w:p>
    <w:p w14:paraId="1E36A962" w14:textId="629630AB" w:rsidR="00114807" w:rsidRPr="00B05B7A" w:rsidRDefault="00114807" w:rsidP="0094685F">
      <w:pPr>
        <w:pStyle w:val="20"/>
        <w:shd w:val="clear" w:color="auto" w:fill="auto"/>
        <w:spacing w:after="0" w:line="233" w:lineRule="auto"/>
        <w:ind w:left="0" w:firstLine="400"/>
        <w:rPr>
          <w:bCs/>
          <w:color w:val="auto"/>
          <w:sz w:val="28"/>
          <w:szCs w:val="28"/>
          <w:lang w:val="ru-RU"/>
        </w:rPr>
      </w:pPr>
      <w:r w:rsidRPr="00104BBD">
        <w:rPr>
          <w:color w:val="auto"/>
          <w:sz w:val="20"/>
          <w:szCs w:val="20"/>
        </w:rPr>
        <w:t>Доповідач: директор Департаменту земельних ресурсів</w:t>
      </w:r>
      <w:r w:rsidRPr="00104BBD">
        <w:rPr>
          <w:color w:val="auto"/>
          <w:sz w:val="24"/>
          <w:szCs w:val="24"/>
        </w:rPr>
        <w:t xml:space="preserve"> </w:t>
      </w:r>
      <w:r w:rsidR="006A0D5A" w:rsidRPr="00645CDD">
        <w:rPr>
          <w:bCs/>
          <w:color w:val="auto"/>
          <w:sz w:val="20"/>
          <w:szCs w:val="20"/>
          <w:lang w:val="ru-RU"/>
        </w:rPr>
        <w:t>Валентина ПЕЛИХ</w:t>
      </w:r>
    </w:p>
    <w:p w14:paraId="0D626A07" w14:textId="34CA5C9E" w:rsidR="0094685F" w:rsidRDefault="0094685F" w:rsidP="0094685F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E1DFD" w14:paraId="657EDF8D" w14:textId="77777777" w:rsidTr="005E1DFD">
        <w:trPr>
          <w:trHeight w:val="907"/>
        </w:trPr>
        <w:tc>
          <w:tcPr>
            <w:tcW w:w="4814" w:type="dxa"/>
          </w:tcPr>
          <w:p w14:paraId="49BB39B4" w14:textId="3FDB4EBA" w:rsidR="005E1DFD" w:rsidRPr="005E1DFD" w:rsidRDefault="00B33403" w:rsidP="005E1DFD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r>
              <w:rPr>
                <w:rStyle w:val="af0"/>
                <w:sz w:val="24"/>
                <w:szCs w:val="24"/>
              </w:rPr>
              <w:t>иректор</w:t>
            </w:r>
            <w:r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r w:rsidR="005E1DFD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05C99292" w14:textId="18CD4079" w:rsidR="005E1DFD" w:rsidRDefault="005E1DFD" w:rsidP="00B1295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2108B119" w14:textId="5BDCD45B" w:rsidR="005E1DFD" w:rsidRPr="00955CE8" w:rsidRDefault="005E1DFD" w:rsidP="00980724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955CE8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79F82752" w14:textId="77777777" w:rsidR="006D0273" w:rsidRPr="00D73F87" w:rsidRDefault="006D0273" w:rsidP="006D0273">
      <w:pPr>
        <w:pStyle w:val="1"/>
        <w:shd w:val="clear" w:color="auto" w:fill="auto"/>
        <w:spacing w:after="0"/>
        <w:ind w:firstLine="420"/>
      </w:pPr>
    </w:p>
    <w:p w14:paraId="306A0D2C" w14:textId="742E00AE" w:rsidR="00114807" w:rsidRDefault="00114807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p w14:paraId="23DCFC1D" w14:textId="77777777" w:rsidR="00447E5F" w:rsidRPr="00104BBD" w:rsidRDefault="00447E5F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sectPr w:rsidR="00447E5F" w:rsidRPr="00104BBD" w:rsidSect="00F15E96">
      <w:headerReference w:type="default" r:id="rId11"/>
      <w:footerReference w:type="default" r:id="rId12"/>
      <w:pgSz w:w="11907" w:h="16839" w:code="9"/>
      <w:pgMar w:top="1134" w:right="567" w:bottom="142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2CBF" w14:textId="77777777" w:rsidR="008171EC" w:rsidRDefault="008171EC">
      <w:r>
        <w:separator/>
      </w:r>
    </w:p>
  </w:endnote>
  <w:endnote w:type="continuationSeparator" w:id="0">
    <w:p w14:paraId="6745B0DC" w14:textId="77777777" w:rsidR="008171EC" w:rsidRDefault="0081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F149" w14:textId="77777777" w:rsidR="008171EC" w:rsidRDefault="008171EC"/>
  </w:footnote>
  <w:footnote w:type="continuationSeparator" w:id="0">
    <w:p w14:paraId="4AEA786C" w14:textId="77777777" w:rsidR="008171EC" w:rsidRDefault="00817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DAB9" w14:textId="476BEC6E" w:rsidR="00862990" w:rsidRPr="007B7541" w:rsidRDefault="004A7340" w:rsidP="00F15E96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</w:t>
    </w:r>
    <w:r w:rsidR="00B979C8">
      <w:rPr>
        <w:sz w:val="12"/>
        <w:szCs w:val="12"/>
      </w:rPr>
      <w:t xml:space="preserve">             </w:t>
    </w:r>
    <w:r>
      <w:rPr>
        <w:sz w:val="12"/>
        <w:szCs w:val="12"/>
      </w:rPr>
      <w:t xml:space="preserve">   </w:t>
    </w:r>
    <w:r w:rsidR="00194E38"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7B7541" w:rsidRPr="00645CDD">
      <w:rPr>
        <w:sz w:val="12"/>
        <w:szCs w:val="12"/>
        <w:lang w:val="ru-RU"/>
      </w:rPr>
      <w:t>ПЗН-64776</w:t>
    </w:r>
    <w:r w:rsidR="00862990">
      <w:rPr>
        <w:sz w:val="12"/>
        <w:szCs w:val="12"/>
      </w:rPr>
      <w:t xml:space="preserve"> від </w:t>
    </w:r>
    <w:r w:rsidR="00200540" w:rsidRPr="00645CDD">
      <w:rPr>
        <w:sz w:val="12"/>
        <w:szCs w:val="12"/>
        <w:lang w:val="ru-RU"/>
      </w:rPr>
      <w:t>05.04.2024</w:t>
    </w:r>
    <w:r w:rsidR="00F15E96">
      <w:rPr>
        <w:sz w:val="12"/>
        <w:szCs w:val="12"/>
      </w:rPr>
      <w:t xml:space="preserve"> до справи </w:t>
    </w:r>
    <w:r w:rsidR="00862990">
      <w:rPr>
        <w:sz w:val="12"/>
        <w:szCs w:val="12"/>
      </w:rPr>
      <w:t xml:space="preserve"> 651442765</w:t>
    </w:r>
    <w:r w:rsidR="00F15E96">
      <w:rPr>
        <w:sz w:val="12"/>
        <w:szCs w:val="12"/>
      </w:rPr>
      <w:t xml:space="preserve">          </w:t>
    </w:r>
    <w:r w:rsidR="00862990" w:rsidRPr="007B7541">
      <w:rPr>
        <w:sz w:val="12"/>
        <w:szCs w:val="12"/>
      </w:rPr>
      <w:t>Сторінка</w:t>
    </w:r>
    <w:r w:rsidR="00862990" w:rsidRPr="007B7541">
      <w:t xml:space="preserve"> </w:t>
    </w:r>
    <w:sdt>
      <w:sdtPr>
        <w:id w:val="-1673942639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="00862990" w:rsidRPr="007B7541">
          <w:rPr>
            <w:sz w:val="12"/>
            <w:szCs w:val="12"/>
          </w:rPr>
          <w:fldChar w:fldCharType="begin"/>
        </w:r>
        <w:r w:rsidR="00862990" w:rsidRPr="007B7541">
          <w:rPr>
            <w:sz w:val="12"/>
            <w:szCs w:val="12"/>
          </w:rPr>
          <w:instrText>PAGE   \* MERGEFORMAT</w:instrText>
        </w:r>
        <w:r w:rsidR="00862990" w:rsidRPr="007B7541">
          <w:rPr>
            <w:sz w:val="12"/>
            <w:szCs w:val="12"/>
          </w:rPr>
          <w:fldChar w:fldCharType="separate"/>
        </w:r>
        <w:r w:rsidR="0072386B" w:rsidRPr="0072386B">
          <w:rPr>
            <w:noProof/>
            <w:sz w:val="12"/>
            <w:szCs w:val="12"/>
            <w:lang w:val="ru-RU"/>
          </w:rPr>
          <w:t>2</w:t>
        </w:r>
        <w:r w:rsidR="00862990" w:rsidRPr="007B7541">
          <w:rPr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267472">
    <w:abstractNumId w:val="2"/>
  </w:num>
  <w:num w:numId="2" w16cid:durableId="1050805437">
    <w:abstractNumId w:val="0"/>
  </w:num>
  <w:num w:numId="3" w16cid:durableId="1004867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81"/>
    <w:rsid w:val="00004AE8"/>
    <w:rsid w:val="00017352"/>
    <w:rsid w:val="00022532"/>
    <w:rsid w:val="00023683"/>
    <w:rsid w:val="00044BCB"/>
    <w:rsid w:val="00045902"/>
    <w:rsid w:val="000802F1"/>
    <w:rsid w:val="00091CF3"/>
    <w:rsid w:val="000B1981"/>
    <w:rsid w:val="000B6110"/>
    <w:rsid w:val="000C3483"/>
    <w:rsid w:val="000C3A5A"/>
    <w:rsid w:val="000C44FC"/>
    <w:rsid w:val="000D18EE"/>
    <w:rsid w:val="000D4A8B"/>
    <w:rsid w:val="000F1896"/>
    <w:rsid w:val="000F54FA"/>
    <w:rsid w:val="00104BBD"/>
    <w:rsid w:val="00110C03"/>
    <w:rsid w:val="00114807"/>
    <w:rsid w:val="0014558C"/>
    <w:rsid w:val="00166900"/>
    <w:rsid w:val="00184DC5"/>
    <w:rsid w:val="00194E38"/>
    <w:rsid w:val="001E04D2"/>
    <w:rsid w:val="00200540"/>
    <w:rsid w:val="00210F1C"/>
    <w:rsid w:val="00211899"/>
    <w:rsid w:val="00217DBB"/>
    <w:rsid w:val="002256EF"/>
    <w:rsid w:val="00232D6B"/>
    <w:rsid w:val="002438BA"/>
    <w:rsid w:val="00247072"/>
    <w:rsid w:val="00295A0E"/>
    <w:rsid w:val="00302B67"/>
    <w:rsid w:val="003047FC"/>
    <w:rsid w:val="00311485"/>
    <w:rsid w:val="0032082E"/>
    <w:rsid w:val="00347B41"/>
    <w:rsid w:val="003568E0"/>
    <w:rsid w:val="0037251C"/>
    <w:rsid w:val="003744EB"/>
    <w:rsid w:val="003774B2"/>
    <w:rsid w:val="00383359"/>
    <w:rsid w:val="003B253B"/>
    <w:rsid w:val="00401087"/>
    <w:rsid w:val="004223BA"/>
    <w:rsid w:val="004467CB"/>
    <w:rsid w:val="00447E5F"/>
    <w:rsid w:val="00453842"/>
    <w:rsid w:val="00457F0B"/>
    <w:rsid w:val="00466C3C"/>
    <w:rsid w:val="00485E81"/>
    <w:rsid w:val="004875C8"/>
    <w:rsid w:val="00493037"/>
    <w:rsid w:val="00493C21"/>
    <w:rsid w:val="00496595"/>
    <w:rsid w:val="004A7340"/>
    <w:rsid w:val="004C4C20"/>
    <w:rsid w:val="004F0681"/>
    <w:rsid w:val="0055002C"/>
    <w:rsid w:val="00556D64"/>
    <w:rsid w:val="00564794"/>
    <w:rsid w:val="00571279"/>
    <w:rsid w:val="00572499"/>
    <w:rsid w:val="00590ED2"/>
    <w:rsid w:val="00596FDB"/>
    <w:rsid w:val="005B73E1"/>
    <w:rsid w:val="005C0C71"/>
    <w:rsid w:val="005C5A73"/>
    <w:rsid w:val="005E1DFD"/>
    <w:rsid w:val="00604821"/>
    <w:rsid w:val="0061239E"/>
    <w:rsid w:val="00632173"/>
    <w:rsid w:val="00645CDD"/>
    <w:rsid w:val="0064781D"/>
    <w:rsid w:val="006649DD"/>
    <w:rsid w:val="00672A8A"/>
    <w:rsid w:val="00687036"/>
    <w:rsid w:val="00687415"/>
    <w:rsid w:val="006A0D5A"/>
    <w:rsid w:val="006A1AE6"/>
    <w:rsid w:val="006A3391"/>
    <w:rsid w:val="006A43A2"/>
    <w:rsid w:val="006D0273"/>
    <w:rsid w:val="006D0CA1"/>
    <w:rsid w:val="006D0D25"/>
    <w:rsid w:val="006E02F0"/>
    <w:rsid w:val="006F6ABE"/>
    <w:rsid w:val="00707471"/>
    <w:rsid w:val="00720C46"/>
    <w:rsid w:val="0072386B"/>
    <w:rsid w:val="007268EC"/>
    <w:rsid w:val="00731DC2"/>
    <w:rsid w:val="007355C9"/>
    <w:rsid w:val="007553A6"/>
    <w:rsid w:val="0075609F"/>
    <w:rsid w:val="00765699"/>
    <w:rsid w:val="00765ED6"/>
    <w:rsid w:val="007A5A1F"/>
    <w:rsid w:val="007B1BC2"/>
    <w:rsid w:val="007B3F34"/>
    <w:rsid w:val="007B7541"/>
    <w:rsid w:val="007C2840"/>
    <w:rsid w:val="007C52B7"/>
    <w:rsid w:val="007C609E"/>
    <w:rsid w:val="007D3720"/>
    <w:rsid w:val="007E2544"/>
    <w:rsid w:val="0081493A"/>
    <w:rsid w:val="008159FA"/>
    <w:rsid w:val="008171EC"/>
    <w:rsid w:val="00830DB0"/>
    <w:rsid w:val="008540A6"/>
    <w:rsid w:val="00862990"/>
    <w:rsid w:val="00863AE9"/>
    <w:rsid w:val="008669DB"/>
    <w:rsid w:val="008816C2"/>
    <w:rsid w:val="0088548D"/>
    <w:rsid w:val="008A5187"/>
    <w:rsid w:val="008B065F"/>
    <w:rsid w:val="008F6A51"/>
    <w:rsid w:val="00921DA0"/>
    <w:rsid w:val="009253F7"/>
    <w:rsid w:val="0094685F"/>
    <w:rsid w:val="00955CE8"/>
    <w:rsid w:val="00980724"/>
    <w:rsid w:val="00987977"/>
    <w:rsid w:val="009B2CCE"/>
    <w:rsid w:val="009B470E"/>
    <w:rsid w:val="009E60FA"/>
    <w:rsid w:val="009F5A7E"/>
    <w:rsid w:val="00A02659"/>
    <w:rsid w:val="00A27936"/>
    <w:rsid w:val="00A33D79"/>
    <w:rsid w:val="00A368F7"/>
    <w:rsid w:val="00A47378"/>
    <w:rsid w:val="00A65267"/>
    <w:rsid w:val="00A723F2"/>
    <w:rsid w:val="00A86D5F"/>
    <w:rsid w:val="00A92381"/>
    <w:rsid w:val="00AB25E8"/>
    <w:rsid w:val="00AE0956"/>
    <w:rsid w:val="00AF38B3"/>
    <w:rsid w:val="00B05B7A"/>
    <w:rsid w:val="00B12950"/>
    <w:rsid w:val="00B1548A"/>
    <w:rsid w:val="00B21927"/>
    <w:rsid w:val="00B33403"/>
    <w:rsid w:val="00B46331"/>
    <w:rsid w:val="00B509A0"/>
    <w:rsid w:val="00B602DB"/>
    <w:rsid w:val="00B6395E"/>
    <w:rsid w:val="00B666BE"/>
    <w:rsid w:val="00B76A35"/>
    <w:rsid w:val="00B77004"/>
    <w:rsid w:val="00B81F38"/>
    <w:rsid w:val="00B979C8"/>
    <w:rsid w:val="00BA02ED"/>
    <w:rsid w:val="00BA3AB4"/>
    <w:rsid w:val="00BB2AE1"/>
    <w:rsid w:val="00BB391F"/>
    <w:rsid w:val="00BD4A71"/>
    <w:rsid w:val="00C2573F"/>
    <w:rsid w:val="00C2624F"/>
    <w:rsid w:val="00C446F5"/>
    <w:rsid w:val="00C6110D"/>
    <w:rsid w:val="00C92F6B"/>
    <w:rsid w:val="00C95FDB"/>
    <w:rsid w:val="00C97F46"/>
    <w:rsid w:val="00CA457D"/>
    <w:rsid w:val="00CB3D97"/>
    <w:rsid w:val="00CB6291"/>
    <w:rsid w:val="00CC567E"/>
    <w:rsid w:val="00CC5CF5"/>
    <w:rsid w:val="00D12C22"/>
    <w:rsid w:val="00D23EC9"/>
    <w:rsid w:val="00D35106"/>
    <w:rsid w:val="00D355DA"/>
    <w:rsid w:val="00D4076E"/>
    <w:rsid w:val="00D40C56"/>
    <w:rsid w:val="00D52C22"/>
    <w:rsid w:val="00D81DFE"/>
    <w:rsid w:val="00D830BD"/>
    <w:rsid w:val="00DB1C69"/>
    <w:rsid w:val="00DC6EFC"/>
    <w:rsid w:val="00DD7DBB"/>
    <w:rsid w:val="00DE52D5"/>
    <w:rsid w:val="00DE6903"/>
    <w:rsid w:val="00E06799"/>
    <w:rsid w:val="00E12AC0"/>
    <w:rsid w:val="00E1543C"/>
    <w:rsid w:val="00E17376"/>
    <w:rsid w:val="00E21576"/>
    <w:rsid w:val="00E351CD"/>
    <w:rsid w:val="00E47F1B"/>
    <w:rsid w:val="00E515F3"/>
    <w:rsid w:val="00E659C4"/>
    <w:rsid w:val="00E70A7A"/>
    <w:rsid w:val="00E741F4"/>
    <w:rsid w:val="00E82810"/>
    <w:rsid w:val="00E83B0D"/>
    <w:rsid w:val="00E94D09"/>
    <w:rsid w:val="00EE6BAB"/>
    <w:rsid w:val="00EF0B77"/>
    <w:rsid w:val="00EF46F6"/>
    <w:rsid w:val="00EF7797"/>
    <w:rsid w:val="00F02B99"/>
    <w:rsid w:val="00F15E96"/>
    <w:rsid w:val="00F23B16"/>
    <w:rsid w:val="00F47E79"/>
    <w:rsid w:val="00F512E5"/>
    <w:rsid w:val="00F64C5F"/>
    <w:rsid w:val="00F66157"/>
    <w:rsid w:val="00F8168C"/>
    <w:rsid w:val="00F940DB"/>
    <w:rsid w:val="00FA2446"/>
    <w:rsid w:val="00FA5B16"/>
    <w:rsid w:val="00FB334A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E3970"/>
  <w15:docId w15:val="{01B653D5-AC87-43C1-9269-F3302352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character" w:styleId="af0">
    <w:name w:val="Strong"/>
    <w:basedOn w:val="a0"/>
    <w:uiPriority w:val="22"/>
    <w:qFormat/>
    <w:rsid w:val="006D027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47E5F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47E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8.03.2020\&#1043;&#1054;&#1058;\26_1%20&#1075;&#1086;&#1090;&#1086;&#1074;&#1077;\26.4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1AA1-7A68-4AE8-AE33-E0B603D9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4208</Words>
  <Characters>2399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(приватизація)</vt:lpstr>
      <vt:lpstr/>
    </vt:vector>
  </TitlesOfParts>
  <Manager>Управління землеустрою</Manager>
  <Company>ДЕПАРТАМЕНТ ЗЕМЕЛЬНИХ РЕСУРСІВ</Company>
  <LinksUpToDate>false</LinksUpToDate>
  <CharactersWithSpaces>6594</CharactersWithSpaces>
  <SharedDoc>false</SharedDoc>
  <HyperlinkBase>132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(приватизація)</dc:title>
  <dc:creator>Admin</dc:creator>
  <cp:keywords>{"doc_type_id":132,"doc_type_name":"Пояснювальна записка Фіз передача дозвіл (приватизація)","doc_type_file":"Фіз_передача_дозвіл_33.docx"}</cp:keywords>
  <cp:lastModifiedBy>Корнійчук Олеся Михайлівна</cp:lastModifiedBy>
  <cp:revision>2</cp:revision>
  <cp:lastPrinted>2021-11-25T14:48:00Z</cp:lastPrinted>
  <dcterms:created xsi:type="dcterms:W3CDTF">2024-04-12T08:28:00Z</dcterms:created>
  <dcterms:modified xsi:type="dcterms:W3CDTF">2024-04-12T08:28:00Z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2024-04-12T08:28:38Z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9ea5f693-0496-472a-bec5-31ff0037c515</vt:lpwstr>
  </property>
  <property fmtid="{D5CDD505-2E9C-101B-9397-08002B2CF9AE}" pid="8" name="MSIP_Label_defa4170-0d19-0005-0004-bc88714345d2_ContentBits">
    <vt:lpwstr>0</vt:lpwstr>
  </property>
</Properties>
</file>