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0F94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D8A803D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13DAC744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FEA66FB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2C66D83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3F85999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4173B64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7DD1300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72A4F78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4D62EE2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0D0E02B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2169F6D" w14:textId="77777777" w:rsidR="00FD5C27" w:rsidRPr="004D7B05" w:rsidRDefault="00FD5C27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000001" w14:textId="1B61E367" w:rsidR="004F364B" w:rsidRPr="004D7B05" w:rsidRDefault="005A0AAD" w:rsidP="00FD5C27">
      <w:pPr>
        <w:spacing w:line="240" w:lineRule="auto"/>
        <w:ind w:left="709" w:right="22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заяву Київської міської ради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щодо статусу ландшафтного заказника місцевого значення </w:t>
      </w:r>
      <w:r w:rsidR="00FD5C27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Протасів Яр</w:t>
      </w:r>
      <w:r w:rsidR="00FD5C27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  <w:r w:rsidR="00B71853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імені Романа Ратушного</w:t>
      </w:r>
    </w:p>
    <w:p w14:paraId="00000002" w14:textId="1D53D7AD" w:rsidR="004F364B" w:rsidRPr="004D7B05" w:rsidRDefault="004F364B" w:rsidP="00FD5C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85CCA2" w14:textId="77777777" w:rsidR="00FD5C27" w:rsidRPr="004D7B05" w:rsidRDefault="00FD5C27" w:rsidP="00FD5C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941548B" w14:textId="3D1EFB27" w:rsidR="00FD5C27" w:rsidRPr="004D7B05" w:rsidRDefault="005A0AAD" w:rsidP="00FD5C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26 Закону України </w:t>
      </w:r>
      <w:r w:rsidR="00FD5C2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місцеве самоврядування в Україні</w:t>
      </w:r>
      <w:r w:rsidR="00FD5C2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 метою </w:t>
      </w:r>
      <w:r w:rsidR="005D2A8D" w:rsidRPr="004D7B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захисту прав та інтересів територіальної громади міста Києва, збереження території Протасового яру та </w:t>
      </w:r>
      <w:r w:rsidR="005D2A8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заказника місцевого значення «Протасів Яр» імені Романа Ратушного, створеного рішенням Київської міської ради від 14.07.2022 № 4907/4948 «</w:t>
      </w:r>
      <w:r w:rsidR="005D2A8D" w:rsidRPr="004D7B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 оголошення природної території ландшафтним заказником місцевого значення «Протасів яр»</w:t>
      </w:r>
      <w:r w:rsidR="005D2A8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Київська міська рада </w:t>
      </w:r>
    </w:p>
    <w:p w14:paraId="415F0014" w14:textId="77777777" w:rsidR="00FD5C27" w:rsidRPr="004D7B05" w:rsidRDefault="00FD5C27" w:rsidP="00FD5C27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000003" w14:textId="4A5531A9" w:rsidR="004F364B" w:rsidRPr="004D7B05" w:rsidRDefault="005A0AAD" w:rsidP="00FD5C27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ВИРІШИЛА:</w:t>
      </w:r>
    </w:p>
    <w:p w14:paraId="00000004" w14:textId="77777777" w:rsidR="004F364B" w:rsidRPr="004D7B05" w:rsidRDefault="004F364B" w:rsidP="00FD5C27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0000005" w14:textId="53E08D5A" w:rsidR="004F364B" w:rsidRPr="004D7B05" w:rsidRDefault="005A0AAD" w:rsidP="00FD5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заяву Київської міської ради щодо статусу ландшафтного заказника місцевого значення </w:t>
      </w:r>
      <w:r w:rsidR="00FD5C2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FD5C2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імені Романа Ратушного, що додається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26DE3C8E" w14:textId="23A71370" w:rsidR="00823A61" w:rsidRPr="004D7B05" w:rsidRDefault="005D2A8D" w:rsidP="00FD5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Доручити Київському міському голові, заступникові міського голови – секретарю Київської міської ради,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виконавчому органу Київської міської ради вжити організаційно-правових заходів, спрямованих на вирішення питань, викладених у заяві, затвердженій пунктом 1 цього рішення</w:t>
      </w:r>
      <w:r w:rsidR="00FD5C2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07" w14:textId="0CBB0D1F" w:rsidR="004F364B" w:rsidRPr="004D7B05" w:rsidRDefault="005A0AAD" w:rsidP="00FD5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Оприлюднити це рішення у встановленому </w:t>
      </w:r>
      <w:r w:rsidR="00FD5C2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законодавством України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порядку.</w:t>
      </w:r>
    </w:p>
    <w:p w14:paraId="304186CE" w14:textId="681450E3" w:rsidR="00FD5C27" w:rsidRPr="004D7B05" w:rsidRDefault="00FD5C27" w:rsidP="00FD5C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екологічної політики та постійну комісію Київської міської ради з питань </w:t>
      </w:r>
      <w:r w:rsidR="0056625F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архітектури,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містопланування</w:t>
      </w:r>
      <w:proofErr w:type="spellEnd"/>
      <w:r w:rsidR="0056625F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земельних відносин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0A" w14:textId="66CC6CA2" w:rsidR="004F364B" w:rsidRPr="004D7B05" w:rsidRDefault="004F364B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4B7076D7" w14:textId="348BF6D7" w:rsidR="00FD5C27" w:rsidRPr="004D7B05" w:rsidRDefault="00FD5C27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78895CAF" w14:textId="51FACB3E" w:rsidR="00FD5C27" w:rsidRPr="004D7B05" w:rsidRDefault="00FD5C27" w:rsidP="00FD5C27">
      <w:pPr>
        <w:tabs>
          <w:tab w:val="left" w:pos="1134"/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Київський міський голова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ab/>
        <w:t>Віталій КЛИЧКО</w:t>
      </w:r>
    </w:p>
    <w:p w14:paraId="5E73A4FE" w14:textId="00B0C795" w:rsidR="009A7C77" w:rsidRPr="004D7B05" w:rsidRDefault="009A7C77" w:rsidP="00FD5C27">
      <w:pPr>
        <w:spacing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56994F29" w14:textId="77777777" w:rsidR="005D2A8D" w:rsidRPr="004D7B05" w:rsidRDefault="005D2A8D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18E54891" w14:textId="527EC1FE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ПОДАННЯ:</w:t>
      </w:r>
    </w:p>
    <w:p w14:paraId="470BF0E5" w14:textId="302561ED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252A87AF" w14:textId="4BCD71E4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Депутати Київської міської ради</w:t>
      </w:r>
    </w:p>
    <w:p w14:paraId="23970502" w14:textId="73A7D4A5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0895C39E" w14:textId="747E39AB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29775AF2" w14:textId="62E8B946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15189796" w14:textId="6B7C1135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11AD158B" w14:textId="38202F91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45CD9EC0" w14:textId="7C4FF3C1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2247224F" w14:textId="1DFBF975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669DBF4A" w14:textId="4CC06627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0C1BD211" w14:textId="17C71407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ПОГОДЖЕНО:</w:t>
      </w:r>
    </w:p>
    <w:p w14:paraId="4B580ECF" w14:textId="0C3CF2DE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2B971D25" w14:textId="77777777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Постійна комісія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Київської міської </w:t>
      </w:r>
    </w:p>
    <w:p w14:paraId="193DF60F" w14:textId="0D02482A" w:rsidR="0056625F" w:rsidRPr="004D7B05" w:rsidRDefault="0056625F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 з питань екологічної політики</w:t>
      </w:r>
    </w:p>
    <w:p w14:paraId="3545B506" w14:textId="232C80E8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Денис МОСКАЛЬ</w:t>
      </w:r>
    </w:p>
    <w:p w14:paraId="7D5A0AEF" w14:textId="02627E0C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78A325B" w14:textId="15962A1B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Євгенія КУЛЕБА</w:t>
      </w:r>
    </w:p>
    <w:p w14:paraId="3CD9FBBD" w14:textId="119B68C4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629D07B" w14:textId="77777777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Постійна комісія Київської міської </w:t>
      </w:r>
    </w:p>
    <w:p w14:paraId="0C64E2F4" w14:textId="77777777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 з питань архітектури,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містопланування</w:t>
      </w:r>
      <w:proofErr w:type="spellEnd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20ED849" w14:textId="5D2FC351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земельних відносин</w:t>
      </w:r>
    </w:p>
    <w:p w14:paraId="78E738FB" w14:textId="26063622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Голова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Михайло ТЕРЕНТЬЄВ</w:t>
      </w:r>
    </w:p>
    <w:p w14:paraId="57578D6B" w14:textId="54D91E42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86AA265" w14:textId="15636D08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Юрій ФЕДОРЕНКО</w:t>
      </w:r>
    </w:p>
    <w:p w14:paraId="225A7CD6" w14:textId="0473E8AD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B0EC4D5" w14:textId="77777777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правового </w:t>
      </w:r>
    </w:p>
    <w:p w14:paraId="27033884" w14:textId="152CF08E" w:rsidR="0056625F" w:rsidRPr="004D7B05" w:rsidRDefault="0056625F" w:rsidP="0056625F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діяльності </w:t>
      </w:r>
    </w:p>
    <w:p w14:paraId="6DB1DA89" w14:textId="674040CF" w:rsidR="0056625F" w:rsidRPr="004D7B05" w:rsidRDefault="0056625F" w:rsidP="0056625F">
      <w:pPr>
        <w:tabs>
          <w:tab w:val="left" w:pos="5387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Київської міської ради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Валентина ПОЛОЖИШНИК</w:t>
      </w:r>
    </w:p>
    <w:p w14:paraId="1FA875BA" w14:textId="77777777" w:rsidR="0056625F" w:rsidRPr="004D7B05" w:rsidRDefault="0056625F">
      <w:pP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br w:type="page"/>
      </w:r>
    </w:p>
    <w:p w14:paraId="0000000B" w14:textId="2F1DA750" w:rsidR="004F364B" w:rsidRPr="004D7B05" w:rsidRDefault="00FD5C27" w:rsidP="00FD5C27">
      <w:pPr>
        <w:spacing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lastRenderedPageBreak/>
        <w:t>ЗАТВЕРДЖЕНО</w:t>
      </w:r>
    </w:p>
    <w:p w14:paraId="1E6EABD5" w14:textId="20E389E4" w:rsidR="00FD5C27" w:rsidRPr="004D7B05" w:rsidRDefault="00FD5C27" w:rsidP="00FD5C27">
      <w:pPr>
        <w:spacing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рішення Київської міської ради </w:t>
      </w:r>
    </w:p>
    <w:p w14:paraId="542DB06A" w14:textId="31777384" w:rsidR="00FD5C27" w:rsidRPr="004D7B05" w:rsidRDefault="00FD5C27" w:rsidP="00FD5C27">
      <w:pPr>
        <w:spacing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_____________ № ___________</w:t>
      </w:r>
    </w:p>
    <w:p w14:paraId="0000000C" w14:textId="77777777" w:rsidR="004F364B" w:rsidRPr="004D7B05" w:rsidRDefault="004F364B" w:rsidP="00FD5C27">
      <w:pPr>
        <w:spacing w:line="240" w:lineRule="auto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0000000D" w14:textId="47B120A4" w:rsidR="004F364B" w:rsidRPr="004D7B05" w:rsidRDefault="00FD5C27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ЗАЯВА </w:t>
      </w:r>
    </w:p>
    <w:p w14:paraId="307CDD11" w14:textId="77777777" w:rsidR="00FD5C27" w:rsidRPr="004D7B05" w:rsidRDefault="005A0AAD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Київської міської ради</w:t>
      </w:r>
    </w:p>
    <w:p w14:paraId="557ED143" w14:textId="0C5192E4" w:rsidR="00FD5C27" w:rsidRPr="004D7B05" w:rsidRDefault="005A0AAD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щодо статусу ландшафтного заказника</w:t>
      </w:r>
    </w:p>
    <w:p w14:paraId="0FADB6B6" w14:textId="77777777" w:rsidR="00FD5C27" w:rsidRPr="004D7B05" w:rsidRDefault="005A0AAD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місцевого значення </w:t>
      </w:r>
      <w:r w:rsidR="00FD5C27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Протасів Яр</w:t>
      </w:r>
      <w:r w:rsidR="00FD5C27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14:paraId="0000000E" w14:textId="5A587C84" w:rsidR="004F364B" w:rsidRPr="004D7B05" w:rsidRDefault="00FD5C27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імені Романа Ратушного</w:t>
      </w:r>
    </w:p>
    <w:p w14:paraId="0000000F" w14:textId="77777777" w:rsidR="004F364B" w:rsidRPr="004D7B05" w:rsidRDefault="004F364B" w:rsidP="00FD5C2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000010" w14:textId="77777777" w:rsidR="004F364B" w:rsidRPr="004D7B05" w:rsidRDefault="005A0AAD" w:rsidP="00FD5C2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Київською міською радою прийняте рішення від 25.07.2022 № 4907/4948 «Про оголошення природної території ландшафтним заказником місцевого значення «Протасів яр». </w:t>
      </w:r>
    </w:p>
    <w:p w14:paraId="00000011" w14:textId="77777777" w:rsidR="004F364B" w:rsidRPr="004D7B05" w:rsidRDefault="005A0AAD" w:rsidP="00FD5C2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складу ландшафтного заказника місцевого значення включено земельні ділянки:</w:t>
      </w:r>
    </w:p>
    <w:p w14:paraId="00000012" w14:textId="188AE612" w:rsidR="004F364B" w:rsidRPr="004D7B05" w:rsidRDefault="005A0AAD" w:rsidP="00FD5C2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1) з кадастровим номером 8000000000:72:210:0008 площею 0,1045 га, 8000000000:72:213:0031 площею 1,6002 га, 8000000000:72:210:0033 площею 14,8702 га, що належать на праві приватної власності </w:t>
      </w:r>
      <w:r w:rsidR="002E43BA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товариству з обмеженою відповідальністю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«Протасів яр»;</w:t>
      </w:r>
    </w:p>
    <w:p w14:paraId="00000013" w14:textId="29FD2565" w:rsidR="004F364B" w:rsidRPr="004D7B05" w:rsidRDefault="005A0AAD" w:rsidP="00FD5C2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2) з кадастровим номером 8000000000:72:213:0145 площею 0.0492 га, з кадастровим номером 8000000000:72:213:0146 площею 0.3936 га, 8000000000:72:213:0048 площею 0.70002 га, 8000000000:72:213:0038 площею 2,7873 га, 8000000000:72:213:0046 площею 1.0609 га, 8000000000:72:213:100 площею 0.12 га, що є комунальною власністю </w:t>
      </w:r>
      <w:r w:rsidR="002E43BA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територіальної громади міста Києва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14" w14:textId="78F8D4F4" w:rsidR="004F364B" w:rsidRPr="004D7B05" w:rsidRDefault="002E43BA" w:rsidP="00FD5C2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Товариство з обмеженою відповідальністю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«Протасів Яр» після ухвалення рішення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Київської міської ради від 25.07.2022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4907/4948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оголошення природної території ландшафтним заказником місцевого значення «Протасів яр»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заявило про свою незгоду зі включенням належних йому земельних ділянок з кадастровими номерами 8000000000:72:210:0008, 8000000000:72:213:0031, 8000000000:72:210:0033 до складу заказника.</w:t>
      </w:r>
    </w:p>
    <w:p w14:paraId="00000016" w14:textId="63C98167" w:rsidR="004F364B" w:rsidRPr="004D7B05" w:rsidRDefault="005A0AAD" w:rsidP="009A7C7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Розпорядженням </w:t>
      </w:r>
      <w:r w:rsidR="00AD1C22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Київської міської державної адміністрації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28.05.2004 № </w:t>
      </w:r>
      <w:r w:rsidR="00B71853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911 </w:t>
      </w:r>
      <w:r w:rsidR="00AD1C22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B71853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надання дозволу на прое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ктування і забудову території на Батиєвій горі під житловий комплекс</w:t>
      </w:r>
      <w:r w:rsidR="00AD1C22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Київська міська державна адміністрація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погодилась з пропозицією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товариства з обмеженою відповідальністю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будівництва житлового комплексу з об’єктами соціально-побутового та громадського призначення на земельній ділянці на Батиєвій горі в кварталі, обмеженому вулицями Волгоградською, Докучаєвською, Протасів яр та Солом’янською.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Товариство з обмеженою відповідальністю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мало забезпечити розробку детального плану територій, представити його на погодження в установленому порядку, виконати умови архітектурно-планувального завдання від 14.10.2002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022801021120 Головного управління містобудування, архітектури та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дизайну міського середовища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17" w14:textId="75FD9149" w:rsidR="004F364B" w:rsidRPr="004D7B05" w:rsidRDefault="005A0AAD" w:rsidP="00FD5C2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Рішенням Київської міської ради від 15.07.2004 № 424/1834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передачу земельних ділянок товариству з обмеженою відповідальністю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Києва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затверджено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відведення земельних ділянок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товариству з обмеженою відповідальністю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будівництва житлового комплексу. Віднесено земельну ділянку площею 15,28 га до земель запасу житлової та громадської забудови з виключенням її з категорії земель рекреаційного призначення.</w:t>
      </w:r>
    </w:p>
    <w:p w14:paraId="00000018" w14:textId="5E6FE308" w:rsidR="004F364B" w:rsidRPr="004D7B05" w:rsidRDefault="005A0AAD" w:rsidP="00FD5C2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Рішенням Київської міської ради від 21.10.2004 № 636/2046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продаж земельних ділянок товариству з обмеженою відповідальністю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Києва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погоджено звіт про експертну грошову оцінку земельних ділянок, вирішено продати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товариству з обмеженою відповідальністю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16,47 га</w:t>
      </w: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землі за 45,5 млн. гривень.</w:t>
      </w:r>
    </w:p>
    <w:p w14:paraId="00000019" w14:textId="065DA2DF" w:rsidR="004F364B" w:rsidRPr="004D7B05" w:rsidRDefault="009A7C77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Вказаним р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ішенням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Київської міської ради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 затверджено умови продажу ділянок:</w:t>
      </w:r>
      <w:r w:rsidR="005A0AAD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виконати вимоги, викладені в листах Головного управління містобудування, архітектури та дизайну міського середовища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виконавчого органу Київської міської ради (Київської міської державної адміністрації)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25.05.2004 №19-4468, головного державного санітарного лікаря м. Києва від 14.07.2004 № 5197, управління охорони навколишнього природного середовища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виконавчого органу Київської міської ради (Київської міської державної адміністрації)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16.06.2004 №071/04-4-19/1947, Головного управління культури, мистецтв та охорони культурної спадщини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виконавчого органу Київської міської ради (Київської міської державної адміністрації)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14.05.2004 №001-07/1426/1, комунального підприємства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Спеціалізоване управління протизсувних підземних робіт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19.05.2004 № 8/1-662, Акціонерної енергопостачальної компанії «Київенерго» від 22.06.2004 № Д11-2/32320/4475, Дочірнього підприємства «Інститут генерального плану міста Києва» ВАТ «Київпроект» від 18.06.2004 № 1226, Київського комунального об’єднання зеленого будівництва та експлуатації зелених насаджень міста «</w:t>
      </w:r>
      <w:proofErr w:type="spellStart"/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Київзеленбуд</w:t>
      </w:r>
      <w:proofErr w:type="spellEnd"/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від 08.07.2004 № 148-1095 та Державної служби охорони культурної спадщини.</w:t>
      </w:r>
    </w:p>
    <w:p w14:paraId="0000001A" w14:textId="563298BA" w:rsidR="004F364B" w:rsidRPr="004D7B05" w:rsidRDefault="005A0AAD" w:rsidP="00FD5C2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підставі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озпорядження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Київської міської державної адміністрації від 28.05.2004 № 911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Державним управлінням екології та природних ресурсів в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м. Києві проведено обстеження зелених насаджень по вул. Протасів яр.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листі від 04.06.2004 № 10-10-12/3190 вказано кількість дерев,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проте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погодження Департаменту носить попередній характер, не дає права на знесення дерев, дійсн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розроблення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будівництва.</w:t>
      </w:r>
    </w:p>
    <w:p w14:paraId="0000001B" w14:textId="1F155609" w:rsidR="004F364B" w:rsidRPr="004D7B05" w:rsidRDefault="009A7C77" w:rsidP="00FD5C2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У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вказаному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листі також зазначено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в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раховуючи численні випадки негативної реакції населення на знесення зелених насаджень при розміщенні об’єктів будівництва, обов’язковою умовою даного погодження є висвітлення намірів про нього у засобах масової інформації та отримання позитивних відгуків громадськості на них. У разі невиконання вищевказаних вимог дане погодження втрачає силу і затрати на розробку проектної документації відносяться до комерційного ризику замовника.</w:t>
      </w:r>
    </w:p>
    <w:p w14:paraId="0000001E" w14:textId="4C0E4F9E" w:rsidR="004F364B" w:rsidRPr="004D7B05" w:rsidRDefault="009A7C77" w:rsidP="009A7C77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листі Управління охорони навколишнього природного середовища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16.06.2004 № 071/04-4-19/1947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також вказало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розділі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собливі умови і вимоги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», що в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раховуючи можливість негативної реакції населення щодо зазначеного будівництва, до початку розробки проектної документації Замовнику здійснити публікацію в засобах масової інформації про дане будівництво і провести громадське обговорення доцільності будівництва. Результати обговорення та відгуки на публікацію направити в постійну комісію Київради з питань екологічної політики з метою врахування громадської думки при прийняття остаточного рішення Київською міською радою щодо доцільності будівництва даного об’єкта.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 невиконанні одного з пунктів вищезазначених умов, чинність даного листа втрачає свою дію.</w:t>
      </w:r>
    </w:p>
    <w:p w14:paraId="0000001F" w14:textId="77777777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Інформація про проведення громадських слухань щодо забудови Протасового Яру відсутня, проте наявна інформація про масові зібрання місцевих жителів та збори підписів проти забудови.</w:t>
      </w:r>
    </w:p>
    <w:p w14:paraId="00000020" w14:textId="209FB6DE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громадських слуханнях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збереження історичної забудови та природного середовища м. Києва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які відбулись 22.07.2005 у Солом’янському районі міста Києва, громадою прийняте рішення про неприпустимість забудови урочища Протасів яр.</w:t>
      </w:r>
    </w:p>
    <w:p w14:paraId="00000021" w14:textId="297692B7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21.08.2004 мешканцями вулиць, прилеглих до урочища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направлено колективне звернення щодо недопустимості забудови урочища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Солом’янському районі м. Києва. Звернення адресоване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 виконавчого органу Київської міської ради (Київської міської державної адміністрації)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Головному управлінню містобудування, архітектури та дизайну міського середовища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органу Київської міської ради (Київської міської державної адміністрації)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Головному управлінню земельних ресурсів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органу Київської міської ради (Київської міської державної адміністрації)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Державному управлінню екології та природних ресурсів України. Вимагається визнати розпорядження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Київської міської державної адміністрації від 28.05.2004 № 911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надання дозволу на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проєктування</w:t>
      </w:r>
      <w:proofErr w:type="spellEnd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забудову території на Батиєвій горі під житловий комплекс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таким, що втратило чинність. До звернення долучені підписні листи, без номерів. </w:t>
      </w:r>
    </w:p>
    <w:p w14:paraId="00000022" w14:textId="6C5CC2DB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Крім того, 21.09.2004 проводилось пікетування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 органу Київської міської ради (Київської міської державної адміністрації)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зв’язку планами забудови Протасового Яру. </w:t>
      </w:r>
    </w:p>
    <w:p w14:paraId="00000024" w14:textId="54301258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Договір купівлі-продажу земельних ділянок підписаний між Київською міською радою та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товариством з обмеженою відповідальністю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18.10.2005.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Проте, н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авіть після підписання 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вказаного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договору протести не зупинились.</w:t>
      </w:r>
    </w:p>
    <w:p w14:paraId="00000025" w14:textId="253A892B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19.02.2006 відбулись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ромадські обговорення з питань збереження зелених зон і насаджень, спортивних майданчиків, по вул.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Неходи</w:t>
      </w:r>
      <w:proofErr w:type="spellEnd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мікрорайону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Енергетик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урочища Протасів Яр, вул. Волгоградській, 25-а, Уманській, 33-а та Солом’янського ландшафтного парку. Під час обговорення проголосували за резолюцію, в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т.ч</w:t>
      </w:r>
      <w:proofErr w:type="spellEnd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на підтримку скасування рішень про виділення земельних ділянок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товариству з обмеженою відповідальністю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="009A7C77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26" w14:textId="29B05B75" w:rsidR="004F364B" w:rsidRPr="004D7B05" w:rsidRDefault="009A7C77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рамках реалізації права членів територіальної громади на м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ісцев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ініціатив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передбаченого статтею 9 Закону України «Про місцеве самоврядування в Україні» та статтею 12 Статуту територіальної громади міста Києва, затвердженого рішенням Київської міської ради від 28.03.2022              № 371/1805 (зареєстрованого наказом Міністерства юстиції України від 2 лютого 2005 року № 14/5)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також було розроблено </w:t>
      </w:r>
      <w:proofErr w:type="spellStart"/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Київської міської ради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17.01.2006 року «Про скасування рішень Київської міської ради про землевідведення та території </w:t>
      </w:r>
      <w:proofErr w:type="spellStart"/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Батової</w:t>
      </w:r>
      <w:proofErr w:type="spellEnd"/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(Батиєвої) гори у Солом’янському районі міста Києва»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(від 17.01.2006 № ОП/КО-759)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На підтримку </w:t>
      </w:r>
      <w:r w:rsidR="003002FB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вказаного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002FB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Київської міської ради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було зібрано 1500 підписів</w:t>
      </w:r>
      <w:r w:rsidR="003002FB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членів територіальної громади міста Києва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27" w14:textId="277348D5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Протести місцевої громади проти забудови Протасового Яру 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2019-2024 ро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ках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закономірний наслідок помилок, допущених 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Київською міською радою та виконавчим органом Київської міської ради (Київської міської державної адміністрації) у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2004-2005 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роках.</w:t>
      </w:r>
    </w:p>
    <w:p w14:paraId="00000028" w14:textId="2017CAFD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адресу Київської міської ради надійшов 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Відкритий лист громади Солом’янського району: 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протест проти забудови зеленої зони Протасового Яру»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03.02.2024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№ 08/7018 від 26.02.2024)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закликом: </w:t>
      </w:r>
    </w:p>
    <w:p w14:paraId="00000029" w14:textId="70C6F19D" w:rsidR="004F364B" w:rsidRPr="004D7B05" w:rsidRDefault="00941DC0" w:rsidP="00941DC0">
      <w:pPr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 допустити забудову схилів Протасового Яру.</w:t>
      </w:r>
    </w:p>
    <w:p w14:paraId="0000002A" w14:textId="1CDEACD8" w:rsidR="004F364B" w:rsidRPr="004D7B05" w:rsidRDefault="00941DC0" w:rsidP="00941DC0">
      <w:pPr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дійснювати ефективний юридичний захист схилів Протасового Яру та врегулювання юридичних спорів навколо заказника «Протасів Яр».</w:t>
      </w:r>
    </w:p>
    <w:p w14:paraId="0000002B" w14:textId="13623AFD" w:rsidR="004F364B" w:rsidRPr="004D7B05" w:rsidRDefault="00941DC0" w:rsidP="00941DC0">
      <w:pPr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прияти затвердженню Положення про ландшафтний заказник місцевого значення «Протасів Яр» та впорядкуванню території в форматі, що не шкодитиме природоохоронній функції території.</w:t>
      </w:r>
    </w:p>
    <w:p w14:paraId="0000002C" w14:textId="0379123C" w:rsidR="004F364B" w:rsidRPr="004D7B05" w:rsidRDefault="00941DC0" w:rsidP="00941DC0">
      <w:pPr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прияти включенню зеленої зони Протасового Яру до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Комплексної міської цільової програми екологічного благополуччя міста Києва на 2022-2025 роки, а також наступних цільових програм, що будуть розроблятись.</w:t>
      </w:r>
    </w:p>
    <w:p w14:paraId="0000002D" w14:textId="77777777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До листа долучені підписні листи на підтримку відкритого листа, що містять 3897 підписи.</w:t>
      </w:r>
    </w:p>
    <w:p w14:paraId="0000002F" w14:textId="5560D2D5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ст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атті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 З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акону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країни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місцеве самоврядування», Київська міська рада є представницьким органом місцевого самоврядування 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виборним органом, який складається з депутатів і відповідно до закону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наділяється правом представляти інтереси територіальної громади м. Києва і приймати від її імені рішення;</w:t>
      </w:r>
    </w:p>
    <w:p w14:paraId="00000030" w14:textId="77777777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Статтею 4 Закону України «Про місцеве самоврядування в Україні» передбачено, що місцеве самоврядування в Україні здійснюється, зокрема, на принципах: народовладдя; законності; гласності; поєднання місцевих і державних інтересів; підзвітності та відповідальності перед територіальними громадами їх органів та посадових осіб.</w:t>
      </w:r>
    </w:p>
    <w:p w14:paraId="00000031" w14:textId="5766FDAC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атті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6 Закону України «Про місцеве самоврядування в Україні» первинним суб’єктом місцевого самоврядування, основним носієм його функцій і повноважень є територіальна громада села, селища, міста. Згідно ст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атті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10 Закону України «Про місцеве самоврядування в Україні» сільські, селищні, міські ради є органами місцевого самоврядування, що представляють відповідні територіальні громади та здійснюють від їх імені та в їх інтересах функції і повноваження місцевого самоврядування, визначені Конституцією України, цим та іншими законами.</w:t>
      </w:r>
    </w:p>
    <w:p w14:paraId="43BE3D42" w14:textId="50BEF7B9" w:rsidR="00A664B4" w:rsidRPr="004D7B05" w:rsidRDefault="005A0AAD" w:rsidP="00BD604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Враховуючи викладене вище, можна прийти до висновку, що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прийняття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ь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Київської міської ради 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15.07.2004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</w:t>
      </w:r>
      <w:r w:rsidR="00941DC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21.10.2004 № 636/2046 «Про продаж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відбулось без </w:t>
      </w:r>
      <w:r w:rsidR="007E48F8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належного обґрунтування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дотримання балансу інт</w:t>
      </w:r>
      <w:r w:rsidR="006C5F70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ересів громади та приватних осіб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залученн</w:t>
      </w:r>
      <w:r w:rsidR="007E48F8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громадян при прийнятті рішень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664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врахування несприятливих наслідків дл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довкілля і прав і свобод киян.</w:t>
      </w:r>
    </w:p>
    <w:p w14:paraId="7EC7D8F1" w14:textId="774B94C8" w:rsidR="00BD6041" w:rsidRPr="004D7B05" w:rsidRDefault="00BB2179" w:rsidP="00BD604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Одночасно, Київська міська рада звертає увагу на ряд порушень вимог чинного законодавства України у редакції станом на час прийняття вказаних рішень Київської міської ради.</w:t>
      </w:r>
    </w:p>
    <w:p w14:paraId="00000036" w14:textId="6814C3FF" w:rsidR="004F364B" w:rsidRPr="004D7B05" w:rsidRDefault="00BB2179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Зокрема, п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ідп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унктом 1.1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 пункту 1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 рішення Київської міської ради 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15.07.2004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віднесено земельну ділянку площею 15,28 га, що передавалась 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товариству з обмеженою відповідальністю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 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«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Протасів Яр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»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 в користування (а наступним рішенням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 Київської міської ради </w:t>
      </w:r>
      <w:r w:rsidR="00320154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–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у</w:t>
      </w:r>
      <w:r w:rsidR="00320154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 </w:t>
      </w:r>
      <w:r w:rsidR="00BD6041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>приватну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  <w:t xml:space="preserve"> власність) до земель запасу житлової та громадської забудови з виключенням її з категорії земель рекреаційного призначення.</w:t>
      </w:r>
    </w:p>
    <w:p w14:paraId="00000038" w14:textId="3B90EE30" w:rsidR="004F364B" w:rsidRPr="004D7B05" w:rsidRDefault="00320154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час прийняття рішення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Київської міської ради від 15.07.2004                              № 424/1834 «Про передачу земельних ділянок товариству з обмеженою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земельні ділянки, які були передані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товариству з обмеженою відповідальністю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«Протасів яр»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користування, були розташовані у межах озелененої території загального користування рекреаційного призначення – парк відпочинку «Протасів яр» у районі з вкрай низьким рівнем забезпечення зеленими територіями загального користування.</w:t>
      </w:r>
    </w:p>
    <w:p w14:paraId="00000039" w14:textId="31A0DD95" w:rsidR="004F364B" w:rsidRPr="004D7B05" w:rsidRDefault="00320154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частиною другої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статт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52 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Земельного кодексу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редакції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станом на 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04.06.2004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землях рекреаційного призначення забороняється діяльність, що перешкоджає або може перешкоджати використанню їх за призначенням, а також негативно впливає або може вплинути на природний стан цих земель.</w:t>
      </w:r>
    </w:p>
    <w:p w14:paraId="0000003A" w14:textId="237846CF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частиною 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третьою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атті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83 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Земельного кодексу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редакції 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станом на 04.06.2004)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земель комунальної власності, які не можуть передаватись у приватну власність, належать: землі загального користування населених пунктів (майдани, вулиці, проїзди, шляхи, набережні, пляжі, парки, сквери, бульвари, кладовища, місця знешкодження та утилізації відходів тощо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3B" w14:textId="3B84409F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атті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60 Закону України «Про охорону навколишнього природного середовища» 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редакції 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станом на 01.01.2004)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особливій охороні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підлягають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природні території та об'єкти, що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мають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велику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екологічну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цінність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унікальні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типові природні комплекси,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збереження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сприятливої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екологічної обстановки,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попередження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стабілізації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негативних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природних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процесів і явищ. Природні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території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об'єкти,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підлягають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особливій охороні,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утворюють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єдину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територіальну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систему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включають території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об'єкти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природно-заповідного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фонду,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курортні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лікувально-оздоровчі,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рекреаційні,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водозахисні,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полезахисні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інші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типи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територій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об'єктів, що визначаються законодавством України.</w:t>
      </w:r>
    </w:p>
    <w:p w14:paraId="0000003C" w14:textId="5BAFEA74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Завданнями планування і забудови територій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сті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ст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атті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 Закону України «Про планування і забудову територій» 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редакції </w:t>
      </w:r>
      <w:r w:rsidR="00667CB4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станом на 20.04.2000)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є: </w:t>
      </w:r>
    </w:p>
    <w:p w14:paraId="47674134" w14:textId="71746DD8" w:rsidR="00667CB4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BB5">
        <w:rPr>
          <w:rFonts w:ascii="Times New Roman" w:hAnsi="Times New Roman" w:cs="Times New Roman"/>
          <w:sz w:val="28"/>
          <w:szCs w:val="28"/>
        </w:rPr>
        <w:t>обґрунтування майбутніх потреб та визначення переважних н</w:t>
      </w:r>
      <w:r w:rsidR="0056625F" w:rsidRPr="00B73BB5">
        <w:rPr>
          <w:rFonts w:ascii="Times New Roman" w:hAnsi="Times New Roman" w:cs="Times New Roman"/>
          <w:sz w:val="28"/>
          <w:szCs w:val="28"/>
        </w:rPr>
        <w:t>апрямів використання територій;</w:t>
      </w:r>
    </w:p>
    <w:p w14:paraId="5F3D3477" w14:textId="7BD106D9" w:rsidR="00667CB4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28"/>
      <w:bookmarkEnd w:id="0"/>
      <w:r w:rsidRPr="00B73BB5">
        <w:rPr>
          <w:rFonts w:ascii="Times New Roman" w:hAnsi="Times New Roman" w:cs="Times New Roman"/>
          <w:sz w:val="28"/>
          <w:szCs w:val="28"/>
        </w:rPr>
        <w:t xml:space="preserve">урахування державних, громадських і приватних інтересів під час планування, забудови та іншого використання територій; </w:t>
      </w:r>
    </w:p>
    <w:p w14:paraId="4A12AB7F" w14:textId="01BE8F37" w:rsidR="00667CB4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29"/>
      <w:bookmarkEnd w:id="1"/>
      <w:r w:rsidRPr="00B73BB5">
        <w:rPr>
          <w:rFonts w:ascii="Times New Roman" w:hAnsi="Times New Roman" w:cs="Times New Roman"/>
          <w:sz w:val="28"/>
          <w:szCs w:val="28"/>
        </w:rPr>
        <w:t xml:space="preserve">обґрунтування розподілу земель за цільовим призначенням та використання територій для містобудівних потреб; </w:t>
      </w:r>
    </w:p>
    <w:p w14:paraId="494A010D" w14:textId="3D79E242" w:rsidR="00667CB4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o30"/>
      <w:bookmarkEnd w:id="2"/>
      <w:r w:rsidRPr="00B73BB5">
        <w:rPr>
          <w:rFonts w:ascii="Times New Roman" w:hAnsi="Times New Roman" w:cs="Times New Roman"/>
          <w:sz w:val="28"/>
          <w:szCs w:val="28"/>
        </w:rPr>
        <w:t xml:space="preserve">забезпечення раціонального розселення і визначення напрямів сталого розвитку населених пунктів; </w:t>
      </w:r>
    </w:p>
    <w:p w14:paraId="3717285D" w14:textId="07E9CF5A" w:rsidR="00667CB4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31"/>
      <w:bookmarkEnd w:id="3"/>
      <w:r w:rsidRPr="00B73BB5">
        <w:rPr>
          <w:rFonts w:ascii="Times New Roman" w:hAnsi="Times New Roman" w:cs="Times New Roman"/>
          <w:sz w:val="28"/>
          <w:szCs w:val="28"/>
        </w:rPr>
        <w:t xml:space="preserve">визначення і раціональне розташування територій житлової та громадської забудови, промислових, рекреаційних, природоохоронних, оздоровчих, історико-культурних та інших територій і об'єктів; </w:t>
      </w:r>
    </w:p>
    <w:p w14:paraId="0E744D0F" w14:textId="2FC46D36" w:rsidR="00667CB4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o32"/>
      <w:bookmarkEnd w:id="4"/>
      <w:r w:rsidRPr="00B73BB5">
        <w:rPr>
          <w:rFonts w:ascii="Times New Roman" w:hAnsi="Times New Roman" w:cs="Times New Roman"/>
          <w:sz w:val="28"/>
          <w:szCs w:val="28"/>
        </w:rPr>
        <w:lastRenderedPageBreak/>
        <w:t xml:space="preserve">обґрунтування та встановлення режиму раціонального використання земель та забудови територій, на яких передбачена перспективна містобудівна діяльність; </w:t>
      </w:r>
    </w:p>
    <w:p w14:paraId="1EBCE0B0" w14:textId="1D9E8F54" w:rsidR="00667CB4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o33"/>
      <w:bookmarkEnd w:id="5"/>
      <w:r w:rsidRPr="00B73BB5">
        <w:rPr>
          <w:rFonts w:ascii="Times New Roman" w:hAnsi="Times New Roman" w:cs="Times New Roman"/>
          <w:sz w:val="28"/>
          <w:szCs w:val="28"/>
        </w:rPr>
        <w:t xml:space="preserve">визначення, вилучення (викуп) і надання земельних ділянок для містобудівних потреб на основі містобудівної документації в межах, визначених законом; </w:t>
      </w:r>
    </w:p>
    <w:p w14:paraId="4F04882B" w14:textId="66ED53C4" w:rsidR="00667CB4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o34"/>
      <w:bookmarkEnd w:id="6"/>
      <w:r w:rsidRPr="00B73BB5">
        <w:rPr>
          <w:rFonts w:ascii="Times New Roman" w:hAnsi="Times New Roman" w:cs="Times New Roman"/>
          <w:sz w:val="28"/>
          <w:szCs w:val="28"/>
        </w:rPr>
        <w:t xml:space="preserve">визначення територій, що мають особливу екологічну, наукову, естетичну, історико-культурну цінність, встановлення передбачених законодавством обмежень на їх планування, забудову та інше використання; </w:t>
      </w:r>
    </w:p>
    <w:p w14:paraId="7BE8B75A" w14:textId="39B386A2" w:rsidR="00667CB4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o35"/>
      <w:bookmarkEnd w:id="7"/>
      <w:r w:rsidRPr="00B73BB5">
        <w:rPr>
          <w:rFonts w:ascii="Times New Roman" w:hAnsi="Times New Roman" w:cs="Times New Roman"/>
          <w:sz w:val="28"/>
          <w:szCs w:val="28"/>
        </w:rPr>
        <w:t xml:space="preserve">охорона довкілля та раціональне використання природних ресурсів; </w:t>
      </w:r>
    </w:p>
    <w:p w14:paraId="00000041" w14:textId="781FAC38" w:rsidR="004F364B" w:rsidRPr="00B73BB5" w:rsidRDefault="00667CB4" w:rsidP="00B73BB5">
      <w:pPr>
        <w:pStyle w:val="a5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o36"/>
      <w:bookmarkEnd w:id="8"/>
      <w:r w:rsidRPr="00B73BB5">
        <w:rPr>
          <w:rFonts w:ascii="Times New Roman" w:hAnsi="Times New Roman" w:cs="Times New Roman"/>
          <w:sz w:val="28"/>
          <w:szCs w:val="28"/>
        </w:rPr>
        <w:t>регулювання забудови населених пунктів та інших територій.</w:t>
      </w:r>
    </w:p>
    <w:p w14:paraId="00000042" w14:textId="60791BBB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 прийнятті рішення Київської міської ради 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15.07.2004                       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м. Києва» у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сі перелічені вище завдання були проігноровані.</w:t>
      </w:r>
    </w:p>
    <w:p w14:paraId="00000043" w14:textId="0CDC2D81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Також рішенням 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Київської міської ради від 15.07.2004 № 424/1834 «Про передачу земельних ділянок товариству з обмеженою відповідальністю «Протасів яр» для будівництва житлового комплексу з об’єктами соціально-культурного та побутового призначення в кварталі вулиць Волгоградської, Докучаєвської, Протасів яр та Солом’янської у Солом’янському районі                       м. Києва»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враховано </w:t>
      </w:r>
      <w:r w:rsidR="00BB2179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Генерального плану міста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Києва та проекту планування його приміської зони до 2020 року, затвердженого рішенням Київської міської ради від 28.03.2002 № 370/1804 всупереч положенням статей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84E8E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12, 19 Закону України «Про планування і забудову територій» (у редакції станом на 20.04.2000)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44" w14:textId="18A3761A" w:rsidR="004F364B" w:rsidRPr="004D7B05" w:rsidRDefault="005A0AAD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Крім того не дотримано вимог підзаконних нормативно-правових актів, зокрема Державних санітарних правил планування та забудови населених пунктів</w:t>
      </w:r>
      <w:r w:rsidR="00BB2179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затверджених наказом Міністерства охорони здоров’я України                          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19.06.</w:t>
      </w:r>
      <w:r w:rsidR="00BB2179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96 </w:t>
      </w:r>
      <w:r w:rsidR="00BB2179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 173, зареєстрованих в Міністерстві юстиції України 24 липня 1996 року за № 379/1404 (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редакції станом на </w:t>
      </w:r>
      <w:r w:rsidR="00BB2179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19.06.1996)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45" w14:textId="77777777" w:rsidR="004F364B" w:rsidRPr="004D7B05" w:rsidRDefault="005A0AAD" w:rsidP="0056625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цих умов, Київська міська рада вважає за необхідне:</w:t>
      </w:r>
    </w:p>
    <w:p w14:paraId="0518CBBE" w14:textId="44E61F0E" w:rsidR="0056625F" w:rsidRPr="004D7B05" w:rsidRDefault="0056625F" w:rsidP="0056625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Доручити Департаменту захисту довкілля та адаптації до зміни клімату виконавчого органу Київської міської ради (Київської м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іської державної адміністрації):</w:t>
      </w:r>
    </w:p>
    <w:p w14:paraId="00000046" w14:textId="54A772FE" w:rsidR="004F364B" w:rsidRPr="004D7B05" w:rsidRDefault="0056625F" w:rsidP="0056625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1.1.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розробити за участі представників громадськості та передати на затвердження Київській </w:t>
      </w:r>
      <w:r w:rsid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міській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військовій адміністрації Положення про ландшафтний заказник місцевого значення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імені Романа Ратушного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</w:t>
      </w:r>
    </w:p>
    <w:p w14:paraId="00000047" w14:textId="0EBB99AA" w:rsidR="004F364B" w:rsidRPr="004D7B05" w:rsidRDefault="0056625F" w:rsidP="0056625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1.2.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розробити Екологічний паспорт ландшафтного заказника місцевого значення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імені Романа Ратушного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</w:t>
      </w:r>
    </w:p>
    <w:p w14:paraId="384108AA" w14:textId="71F9369B" w:rsidR="0056625F" w:rsidRPr="004D7B05" w:rsidRDefault="0056625F" w:rsidP="0056625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2. В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жити заходів щодо мирного врегулювання спору з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товариством з обмеженою відповідальністю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Протасів Яр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 результатами,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винести на розгляд Київської міської ради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відповідні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пропозиції. </w:t>
      </w:r>
      <w:bookmarkStart w:id="9" w:name="_GoBack"/>
      <w:bookmarkEnd w:id="9"/>
    </w:p>
    <w:p w14:paraId="00000048" w14:textId="1BE5F3C3" w:rsidR="004F364B" w:rsidRPr="004D7B05" w:rsidRDefault="0056625F" w:rsidP="0056625F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Попередній розгляд пропозицій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мирного врегулювання спору з товариством з обмеженою відповідальністю «Протасів Яр»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покласти на постійну комісію Київської міської ради з екологічної політики та постійну комісію Київської міської ради з питань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архітектури, </w:t>
      </w:r>
      <w:proofErr w:type="spellStart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містопланування</w:t>
      </w:r>
      <w:proofErr w:type="spellEnd"/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земельних відносин</w:t>
      </w:r>
      <w:r w:rsidR="005A0AAD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0000049" w14:textId="77777777" w:rsidR="004F364B" w:rsidRPr="004D7B05" w:rsidRDefault="004F364B" w:rsidP="00FD5C27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00004A" w14:textId="77777777" w:rsidR="004F364B" w:rsidRPr="004D7B05" w:rsidRDefault="004F364B" w:rsidP="00FD5C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00004B" w14:textId="77777777" w:rsidR="004F364B" w:rsidRPr="004D7B05" w:rsidRDefault="004F364B" w:rsidP="00FD5C2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red"/>
          <w:lang w:val="uk-UA"/>
        </w:rPr>
      </w:pPr>
    </w:p>
    <w:p w14:paraId="0000004C" w14:textId="5FC54659" w:rsidR="004F364B" w:rsidRPr="004D7B05" w:rsidRDefault="005A0AAD" w:rsidP="005662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Київський міський голова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Віталій КЛИЧКО</w:t>
      </w:r>
    </w:p>
    <w:p w14:paraId="0000004D" w14:textId="77777777" w:rsidR="004F364B" w:rsidRPr="004D7B05" w:rsidRDefault="004F364B" w:rsidP="00FD5C27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00004E" w14:textId="77777777" w:rsidR="004F364B" w:rsidRPr="004D7B05" w:rsidRDefault="004F364B" w:rsidP="00FD5C27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00004F" w14:textId="77777777" w:rsidR="004F364B" w:rsidRPr="004D7B05" w:rsidRDefault="004F364B" w:rsidP="00FD5C27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000050" w14:textId="77777777" w:rsidR="004F364B" w:rsidRPr="004D7B05" w:rsidRDefault="005A0AAD" w:rsidP="00FD5C27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14:paraId="00000052" w14:textId="77777777" w:rsidR="004F364B" w:rsidRPr="004D7B05" w:rsidRDefault="005A0AAD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ПОЯСНЮВАЛЬНА ЗАПИСКА</w:t>
      </w:r>
    </w:p>
    <w:p w14:paraId="00000053" w14:textId="77777777" w:rsidR="004F364B" w:rsidRPr="004D7B05" w:rsidRDefault="005A0AAD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рішення Київської міської ради</w:t>
      </w:r>
    </w:p>
    <w:p w14:paraId="00000054" w14:textId="1AA6F487" w:rsidR="004F364B" w:rsidRPr="004D7B05" w:rsidRDefault="005A0AAD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«Про заяву Київської міської ради щодо статусу ландшафтного заказника місцевого значення </w:t>
      </w:r>
      <w:r w:rsidR="0056625F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Протасів Яр</w:t>
      </w:r>
      <w:r w:rsidR="0056625F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  <w:r w:rsidR="007E48F8"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імені Романа Ратушного</w:t>
      </w:r>
      <w:r w:rsidRPr="004D7B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14:paraId="11FF98AA" w14:textId="15907F63" w:rsidR="0056625F" w:rsidRPr="004D7B05" w:rsidRDefault="0056625F" w:rsidP="00FD5C2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DEE906D" w14:textId="77777777" w:rsidR="005D2A8D" w:rsidRPr="004D7B05" w:rsidRDefault="005D2A8D" w:rsidP="005D2A8D">
      <w:pPr>
        <w:pStyle w:val="a5"/>
        <w:widowControl w:val="0"/>
        <w:numPr>
          <w:ilvl w:val="0"/>
          <w:numId w:val="13"/>
        </w:numPr>
        <w:tabs>
          <w:tab w:val="left" w:pos="1134"/>
        </w:tabs>
        <w:suppressAutoHyphens/>
        <w:autoSpaceDE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Опис проблем, для вирішення яких підготовлено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проєкті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68106FFB" w14:textId="77777777" w:rsidR="004D7B05" w:rsidRPr="004D7B05" w:rsidRDefault="004D7B05" w:rsidP="004D7B05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Київською міською радою прийняте рішення від 25.07.2022 № 4907/4948 «Про оголошення природної території ландшафтним заказником місцевого значення «Протасів яр». </w:t>
      </w:r>
    </w:p>
    <w:p w14:paraId="59A4E346" w14:textId="77777777" w:rsidR="004D7B05" w:rsidRPr="004D7B05" w:rsidRDefault="004D7B05" w:rsidP="004D7B05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>До складу ландшафтного заказника місцевого значення включено земельні ділянки:</w:t>
      </w:r>
    </w:p>
    <w:p w14:paraId="25AFCE45" w14:textId="77777777" w:rsidR="004D7B05" w:rsidRPr="004D7B05" w:rsidRDefault="004D7B05" w:rsidP="004D7B05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>1) з кадастровим номером 8000000000:72:210:0008 площею 0,1045 га, 8000000000:72:213:0031 площею 1,6002 га, 8000000000:72:210:0033 площею 14,8702 га, що належать на праві приватної власності товариству з обмеженою відповідальністю «Протасів яр»;</w:t>
      </w:r>
    </w:p>
    <w:p w14:paraId="6488FEBD" w14:textId="77777777" w:rsidR="004D7B05" w:rsidRPr="004D7B05" w:rsidRDefault="004D7B05" w:rsidP="004D7B05">
      <w:pPr>
        <w:shd w:val="clear" w:color="auto" w:fill="FFFFFF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>2) з кадастровим номером 8000000000:72:213:0145 площею 0.0492 га, з кадастровим номером 8000000000:72:213:0146 площею 0.3936 га, 8000000000:72:213:0048 площею 0.70002 га, 8000000000:72:213:0038 площею 2,7873 га, 8000000000:72:213:0046 площею 1.0609 га, 8000000000:72:213:100 площею 0.12 га, що є комунальною власністю територіальної громади міста Києва.</w:t>
      </w:r>
    </w:p>
    <w:p w14:paraId="2315F739" w14:textId="221F75C7" w:rsidR="005D2A8D" w:rsidRDefault="004D7B05" w:rsidP="004D7B0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</w:rPr>
        <w:t>Товариство з обмеженою відповідальністю «Протасів Яр» після ухвалення рішення Київської міської ради від 25.07.2022 № 4907/4948 «Про оголошення природної території ландшафтним заказником місцевого значення «Протасів яр» заявило про свою незгоду зі включенням належних йому земельних ділянок з кадастровими номерами 8000000000:72:210:0008, 8000000000:72:213:0031, 8000000000:72:210:0033 до складу заказника.</w:t>
      </w:r>
    </w:p>
    <w:p w14:paraId="2BF62989" w14:textId="0758C084" w:rsidR="004D7B05" w:rsidRDefault="004D7B05" w:rsidP="004D7B0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Протести місцевої громади проти забудови Протасового Яру у 2019-2024 роках – це закономірний наслідок помилок, допущених Київською міською радою та виконавчим органом Київської міської ради (Київської міської державної адміністрації) у 2004-2005 роках.</w:t>
      </w:r>
    </w:p>
    <w:p w14:paraId="29275F63" w14:textId="77777777" w:rsidR="004D7B05" w:rsidRDefault="004D7B05" w:rsidP="004D7B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адресу Київської міської ради надійшов «Відкритий лист громади Солом’янського району: протест проти забудови зеленої зони Протасового Яру» від 03.02.2024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08/7018 від 26.02.2024) із закликом: </w:t>
      </w:r>
    </w:p>
    <w:p w14:paraId="66832577" w14:textId="77777777" w:rsidR="004D7B05" w:rsidRDefault="004D7B05" w:rsidP="004D7B05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допустити забудову схилів Протасового Яру.</w:t>
      </w:r>
    </w:p>
    <w:p w14:paraId="50413187" w14:textId="77777777" w:rsidR="004D7B05" w:rsidRDefault="004D7B05" w:rsidP="004D7B05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здійснювати ефективний юридичний захист схилів Протасового Яру та врегулювання юридичних спорів навколо заказника «Протасів Яр».</w:t>
      </w:r>
    </w:p>
    <w:p w14:paraId="7015E613" w14:textId="77777777" w:rsidR="004D7B05" w:rsidRDefault="004D7B05" w:rsidP="004D7B05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сприяти затвердженню Положення про ландшафтний заказник місцевого значення «Протасів Яр» та впорядкуванню території в форматі, що не шкодитиме природоохоронній функції території.</w:t>
      </w:r>
    </w:p>
    <w:p w14:paraId="13286589" w14:textId="77777777" w:rsidR="004D7B05" w:rsidRDefault="004D7B05" w:rsidP="004D7B05">
      <w:pPr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сприяти включенню зеленої зони Протасового Яру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Комплексної міської цільової програми екологічного благополуччя міста Києва на 2022-2025 роки, а також наступних цільових програм, що будуть розроблятись.</w:t>
      </w:r>
    </w:p>
    <w:p w14:paraId="72DE3774" w14:textId="1D10801D" w:rsidR="004D7B05" w:rsidRDefault="004D7B05" w:rsidP="004D7B0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До листа долучені підписні листи на підтримку відкритого листа, що містять 3897 підписи.</w:t>
      </w:r>
    </w:p>
    <w:p w14:paraId="1CAD1D53" w14:textId="77777777" w:rsidR="004D7B05" w:rsidRDefault="004D7B05" w:rsidP="004D7B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цих умов, Київська міська рада вважає за необхідне:</w:t>
      </w:r>
    </w:p>
    <w:p w14:paraId="384ACCD9" w14:textId="77777777" w:rsidR="004D7B05" w:rsidRDefault="004D7B05" w:rsidP="004D7B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Доручити Департаменту захисту довкілля та адаптації до зміни клімату виконавчого органу Київської міської ради (Київської міської державної адміністрації):</w:t>
      </w:r>
    </w:p>
    <w:p w14:paraId="28A1768D" w14:textId="77777777" w:rsidR="004D7B05" w:rsidRDefault="004D7B05" w:rsidP="004D7B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розробити за участі представників громадськості та передати на затвердження Київській міській військовій адміністрації Положення про ландшафтний заказник місцевого значення «Протасів Яр» імені Романа Ратушного; </w:t>
      </w:r>
    </w:p>
    <w:p w14:paraId="554DD145" w14:textId="77777777" w:rsidR="004D7B05" w:rsidRDefault="004D7B05" w:rsidP="004D7B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розробити Екологічний паспорт ландшафтного заказника місцевого значення «Протасів Яр» імені Романа Ратушного; </w:t>
      </w:r>
    </w:p>
    <w:p w14:paraId="256219F0" w14:textId="77777777" w:rsidR="004D7B05" w:rsidRDefault="004D7B05" w:rsidP="004D7B0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Вжити заходів щодо мирного врегулювання спору з товариством з обмеженою відповідальністю «Протасів Яр» та, за результатами, винести на розгляд Київської міської ради відповідні пропозиції. </w:t>
      </w:r>
    </w:p>
    <w:p w14:paraId="1D0F96A7" w14:textId="3F89C5CF" w:rsidR="004D7B05" w:rsidRPr="004D7B05" w:rsidRDefault="004D7B05" w:rsidP="004D7B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Попередній розгляд пропозицій щодо мирного врегулювання спору з товариством з обмеженою відповідальністю «Протасів Яр» покласти на постійну комісію Київської міської ради з екологічної політики та постійну комісію Київської міської ради з питань архітектури,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містопланування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земельних відносин.</w:t>
      </w:r>
    </w:p>
    <w:p w14:paraId="1CBA10A3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91D0945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Київради)</w:t>
      </w:r>
    </w:p>
    <w:p w14:paraId="59F95D8D" w14:textId="00773BCE" w:rsidR="005D2A8D" w:rsidRPr="004D7B05" w:rsidRDefault="005D2A8D" w:rsidP="005D2A8D">
      <w:pPr>
        <w:tabs>
          <w:tab w:val="left" w:pos="0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7B05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підготовлено відповідно до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статті 26 Закону України «Про місцеве самоврядування в Україні».</w:t>
      </w:r>
    </w:p>
    <w:p w14:paraId="4E86E0FC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71F991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3. Опис цілей і завдань, основних положень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рішення Київради</w:t>
      </w:r>
    </w:p>
    <w:p w14:paraId="7DC18C30" w14:textId="3EBB903A" w:rsidR="005D2A8D" w:rsidRPr="004D7B05" w:rsidRDefault="005D2A8D" w:rsidP="005D2A8D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Даний </w:t>
      </w:r>
      <w:proofErr w:type="spellStart"/>
      <w:r w:rsidRPr="004D7B05"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>проєкт</w:t>
      </w:r>
      <w:proofErr w:type="spellEnd"/>
      <w:r w:rsidRPr="004D7B05"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 підготовлено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захисту прав та інтересів територіальної громади міста Києва, збереження території Протасового яру та 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заказника місцевого значення «Протасів Яр» імені Романа Ратушного, створеного рішенням Київської міської ради від 14.07.2022 № 4907/4948 «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 оголошення природної території ландшафтним заказником місцевого значення «Протасів яр»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D7B05"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  <w:t>.</w:t>
      </w:r>
    </w:p>
    <w:p w14:paraId="3C98D4D7" w14:textId="0D9ACA96" w:rsidR="005D2A8D" w:rsidRPr="004D7B05" w:rsidRDefault="005D2A8D" w:rsidP="004D7B05">
      <w:pPr>
        <w:shd w:val="clear" w:color="auto" w:fill="FFFFFF"/>
        <w:tabs>
          <w:tab w:val="left" w:pos="1134"/>
        </w:tabs>
        <w:spacing w:line="240" w:lineRule="auto"/>
        <w:ind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  <w:t xml:space="preserve">Реалізація поставленої мети </w:t>
      </w:r>
      <w:proofErr w:type="spellStart"/>
      <w:r w:rsidRPr="004D7B05"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  <w:t>досягатиметься</w:t>
      </w:r>
      <w:proofErr w:type="spellEnd"/>
      <w:r w:rsidRPr="004D7B05"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  <w:t xml:space="preserve"> через виконання ряду завдань:</w:t>
      </w:r>
    </w:p>
    <w:p w14:paraId="065A86D5" w14:textId="617DF268" w:rsidR="005D2A8D" w:rsidRPr="004D7B05" w:rsidRDefault="005D2A8D" w:rsidP="004D7B05">
      <w:pPr>
        <w:pStyle w:val="a5"/>
        <w:numPr>
          <w:ilvl w:val="0"/>
          <w:numId w:val="14"/>
        </w:numPr>
        <w:shd w:val="clear" w:color="auto" w:fill="FFFFFF"/>
        <w:tabs>
          <w:tab w:val="left" w:pos="1134"/>
        </w:tabs>
        <w:spacing w:line="240" w:lineRule="auto"/>
        <w:ind w:left="0"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  <w:t>затвердження Київською міською радою вказаної заяви;</w:t>
      </w:r>
    </w:p>
    <w:p w14:paraId="7E626931" w14:textId="40DD86AB" w:rsidR="005D2A8D" w:rsidRPr="004D7B05" w:rsidRDefault="005D2A8D" w:rsidP="004D7B05">
      <w:pPr>
        <w:pStyle w:val="a5"/>
        <w:numPr>
          <w:ilvl w:val="0"/>
          <w:numId w:val="14"/>
        </w:numPr>
        <w:shd w:val="clear" w:color="auto" w:fill="FFFFFF"/>
        <w:tabs>
          <w:tab w:val="left" w:pos="1134"/>
        </w:tabs>
        <w:spacing w:line="240" w:lineRule="auto"/>
        <w:ind w:left="0"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вжиття </w:t>
      </w:r>
      <w:r w:rsidR="004D7B05"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Київським міським головою, заступником міського голови – секретарем Київської міської ради, виконавчим органом Київської міської ради</w:t>
      </w:r>
      <w:r w:rsidRP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організаційно-правових заходів, спрямованих на вирішення питань, викладених у заяві</w:t>
      </w:r>
      <w:r w:rsidR="004D7B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D841A07" w14:textId="33D70134" w:rsidR="004D7B05" w:rsidRPr="004D7B05" w:rsidRDefault="004D7B05" w:rsidP="004D7B05">
      <w:pPr>
        <w:pStyle w:val="a5"/>
        <w:numPr>
          <w:ilvl w:val="0"/>
          <w:numId w:val="14"/>
        </w:numPr>
        <w:shd w:val="clear" w:color="auto" w:fill="FFFFFF"/>
        <w:tabs>
          <w:tab w:val="left" w:pos="1134"/>
        </w:tabs>
        <w:spacing w:line="240" w:lineRule="auto"/>
        <w:ind w:left="0"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участі представників громадськості 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затвердження Київській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військовій адміністрації Положення про ландшафтний заказник місцевого значення «Протасів Яр» імені Романа Ратушного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5A55F298" w14:textId="78547AAD" w:rsidR="004D7B05" w:rsidRPr="004D7B05" w:rsidRDefault="004D7B05" w:rsidP="004D7B05">
      <w:pPr>
        <w:pStyle w:val="a5"/>
        <w:numPr>
          <w:ilvl w:val="0"/>
          <w:numId w:val="14"/>
        </w:numPr>
        <w:shd w:val="clear" w:color="auto" w:fill="FFFFFF"/>
        <w:tabs>
          <w:tab w:val="left" w:pos="1134"/>
        </w:tabs>
        <w:spacing w:line="240" w:lineRule="auto"/>
        <w:ind w:left="0"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розроб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Екологічн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ландшафтного заказника місцевого значення «Протасів Яр» імені Романа Ратушного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5BF325B9" w14:textId="1A08C2EF" w:rsidR="004D7B05" w:rsidRPr="004D7B05" w:rsidRDefault="004D7B05" w:rsidP="004D7B05">
      <w:pPr>
        <w:pStyle w:val="a5"/>
        <w:numPr>
          <w:ilvl w:val="0"/>
          <w:numId w:val="14"/>
        </w:numPr>
        <w:shd w:val="clear" w:color="auto" w:fill="FFFFFF"/>
        <w:tabs>
          <w:tab w:val="left" w:pos="1134"/>
        </w:tabs>
        <w:spacing w:line="240" w:lineRule="auto"/>
        <w:ind w:left="0" w:right="19" w:firstLine="709"/>
        <w:jc w:val="both"/>
        <w:rPr>
          <w:rFonts w:ascii="Times New Roman" w:hAnsi="Times New Roman" w:cs="Times New Roman"/>
          <w:bCs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заходів щодо мирного врегулювання спору з товариством з обмеженою відповідальністю «Протасів Яр» та, за результатами,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винес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розгляд Київської міської ради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й.</w:t>
      </w:r>
    </w:p>
    <w:p w14:paraId="052C19C8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E5C961" w14:textId="6D7592B4" w:rsidR="005D2A8D" w:rsidRPr="004D7B05" w:rsidRDefault="005D2A8D" w:rsidP="005D2A8D">
      <w:pPr>
        <w:widowControl w:val="0"/>
        <w:tabs>
          <w:tab w:val="left" w:pos="1134"/>
        </w:tabs>
        <w:suppressAutoHyphens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  <w:r w:rsidRPr="004D7B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пропозиції щодо джерел покриття цих витрат</w:t>
      </w:r>
    </w:p>
    <w:p w14:paraId="4D6ECA8B" w14:textId="2C21629D" w:rsidR="005D2A8D" w:rsidRPr="004D7B05" w:rsidRDefault="005D2A8D" w:rsidP="005D2A8D">
      <w:pPr>
        <w:tabs>
          <w:tab w:val="left" w:pos="1134"/>
        </w:tabs>
        <w:spacing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D7B05">
        <w:rPr>
          <w:rFonts w:ascii="Times New Roman" w:hAnsi="Times New Roman" w:cs="Times New Roman"/>
          <w:sz w:val="28"/>
          <w:szCs w:val="28"/>
          <w:lang w:val="uk-UA"/>
        </w:rPr>
        <w:t>Реалізація рішення Київської міської ради не потребує здійснення видатків із місцевого бюджету (бюджету міста Києва), не впливає на дохідну та видаткову частину .</w:t>
      </w:r>
    </w:p>
    <w:p w14:paraId="2E5D0792" w14:textId="77777777" w:rsidR="005D2A8D" w:rsidRPr="004D7B05" w:rsidRDefault="005D2A8D" w:rsidP="005D2A8D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41F8340C" w14:textId="77777777" w:rsidR="005D2A8D" w:rsidRPr="004D7B05" w:rsidRDefault="005D2A8D" w:rsidP="005D2A8D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Прізвище або назву суб'єкта подання, прізвище, посаду, контактні дані доповідача </w:t>
      </w:r>
      <w:proofErr w:type="spellStart"/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4D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Київради</w:t>
      </w:r>
    </w:p>
    <w:p w14:paraId="5FB0D679" w14:textId="2F7A704D" w:rsidR="004D7B05" w:rsidRDefault="004D7B05" w:rsidP="005D2A8D">
      <w:pPr>
        <w:tabs>
          <w:tab w:val="left" w:pos="1134"/>
          <w:tab w:val="left" w:pos="708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7B05">
        <w:rPr>
          <w:rFonts w:ascii="Times New Roman" w:hAnsi="Times New Roman" w:cs="Times New Roman"/>
          <w:sz w:val="28"/>
          <w:szCs w:val="28"/>
          <w:lang w:val="uk-UA"/>
        </w:rPr>
        <w:t>Суб’єк</w:t>
      </w:r>
      <w:r>
        <w:rPr>
          <w:rFonts w:ascii="Times New Roman" w:hAnsi="Times New Roman" w:cs="Times New Roman"/>
          <w:sz w:val="28"/>
          <w:szCs w:val="28"/>
          <w:lang w:val="uk-UA"/>
        </w:rPr>
        <w:t>тами</w:t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подання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є група депутатів Київської міської ради.</w:t>
      </w:r>
    </w:p>
    <w:p w14:paraId="69F17930" w14:textId="2DE7937F" w:rsidR="005D2A8D" w:rsidRPr="004D7B05" w:rsidRDefault="004D7B05" w:rsidP="005D2A8D">
      <w:pPr>
        <w:tabs>
          <w:tab w:val="left" w:pos="1134"/>
          <w:tab w:val="left" w:pos="7088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Особою, відповідальною за супроводження </w:t>
      </w:r>
      <w:proofErr w:type="spellStart"/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 рішення та д</w:t>
      </w:r>
      <w:r w:rsidR="005D2A8D" w:rsidRPr="004D7B05"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  <w:t xml:space="preserve">оповідачем </w:t>
      </w:r>
      <w:proofErr w:type="spellStart"/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є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визначений за згодою суб’єктів подання.</w:t>
      </w:r>
    </w:p>
    <w:p w14:paraId="6FC3158E" w14:textId="77777777" w:rsidR="005D2A8D" w:rsidRPr="004D7B05" w:rsidRDefault="005D2A8D" w:rsidP="005D2A8D">
      <w:pPr>
        <w:shd w:val="clear" w:color="auto" w:fill="FFFFFF"/>
        <w:tabs>
          <w:tab w:val="left" w:pos="1134"/>
        </w:tabs>
        <w:spacing w:line="240" w:lineRule="auto"/>
        <w:ind w:right="19" w:firstLine="709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</w:pPr>
    </w:p>
    <w:p w14:paraId="2A1ED0BD" w14:textId="77777777" w:rsidR="005D2A8D" w:rsidRPr="004D7B05" w:rsidRDefault="005D2A8D" w:rsidP="005D2A8D">
      <w:pPr>
        <w:spacing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7B05">
        <w:rPr>
          <w:rStyle w:val="a6"/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D7B05">
        <w:rPr>
          <w:rStyle w:val="a6"/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не стосується прав і соціальної захищеності осіб з інвалідністю та не має вплив на життєдіяльність цієї категорії.</w:t>
      </w:r>
    </w:p>
    <w:p w14:paraId="7B3AA8B7" w14:textId="77777777" w:rsidR="005D2A8D" w:rsidRPr="004D7B05" w:rsidRDefault="005D2A8D" w:rsidP="005D2A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7B05">
        <w:rPr>
          <w:rStyle w:val="a6"/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4D7B05">
        <w:rPr>
          <w:rStyle w:val="a6"/>
          <w:rFonts w:ascii="Times New Roman" w:hAnsi="Times New Roman" w:cs="Times New Roman"/>
          <w:sz w:val="28"/>
          <w:szCs w:val="28"/>
          <w:lang w:val="uk-UA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14676E51" w14:textId="77777777" w:rsidR="005D2A8D" w:rsidRPr="004D7B05" w:rsidRDefault="005D2A8D" w:rsidP="005D2A8D">
      <w:pPr>
        <w:shd w:val="clear" w:color="auto" w:fill="FFFFFF"/>
        <w:tabs>
          <w:tab w:val="left" w:pos="1134"/>
        </w:tabs>
        <w:spacing w:line="240" w:lineRule="auto"/>
        <w:ind w:right="19" w:firstLine="709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</w:pPr>
    </w:p>
    <w:p w14:paraId="5EFFDA63" w14:textId="77777777" w:rsidR="005D2A8D" w:rsidRPr="004D7B05" w:rsidRDefault="005D2A8D" w:rsidP="005D2A8D">
      <w:pPr>
        <w:shd w:val="clear" w:color="auto" w:fill="FFFFFF"/>
        <w:spacing w:line="240" w:lineRule="auto"/>
        <w:ind w:right="19"/>
        <w:jc w:val="both"/>
        <w:rPr>
          <w:rFonts w:ascii="Times New Roman" w:hAnsi="Times New Roman" w:cs="Times New Roman"/>
          <w:bCs/>
          <w:color w:val="000000"/>
          <w:spacing w:val="3"/>
          <w:sz w:val="28"/>
          <w:szCs w:val="28"/>
          <w:lang w:val="uk-UA"/>
        </w:rPr>
      </w:pPr>
    </w:p>
    <w:p w14:paraId="33CE6D91" w14:textId="442A3143" w:rsidR="005D2A8D" w:rsidRPr="004D7B05" w:rsidRDefault="004D7B05" w:rsidP="005D2A8D">
      <w:pPr>
        <w:shd w:val="clear" w:color="auto" w:fill="FFFFFF"/>
        <w:spacing w:line="240" w:lineRule="auto"/>
        <w:ind w:right="1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Депутати</w:t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</w:t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2A8D" w:rsidRPr="004D7B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</w:p>
    <w:p w14:paraId="6373B355" w14:textId="77777777" w:rsidR="0056625F" w:rsidRPr="004D7B05" w:rsidRDefault="0056625F" w:rsidP="005D2A8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56625F" w:rsidRPr="004D7B05" w:rsidSect="009A7C77">
      <w:pgSz w:w="11909" w:h="16834"/>
      <w:pgMar w:top="1135" w:right="852" w:bottom="144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F98"/>
    <w:multiLevelType w:val="multilevel"/>
    <w:tmpl w:val="61FA0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56773A"/>
    <w:multiLevelType w:val="multilevel"/>
    <w:tmpl w:val="9BDCB6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4A139C8"/>
    <w:multiLevelType w:val="multilevel"/>
    <w:tmpl w:val="D4181A0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772455B"/>
    <w:multiLevelType w:val="multilevel"/>
    <w:tmpl w:val="EB12A0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1A30BE"/>
    <w:multiLevelType w:val="hybridMultilevel"/>
    <w:tmpl w:val="29C8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77C6B"/>
    <w:multiLevelType w:val="multilevel"/>
    <w:tmpl w:val="F21223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FAA0168"/>
    <w:multiLevelType w:val="multilevel"/>
    <w:tmpl w:val="5FA6C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A17A55"/>
    <w:multiLevelType w:val="hybridMultilevel"/>
    <w:tmpl w:val="D1E6F0DE"/>
    <w:lvl w:ilvl="0" w:tplc="5B9CF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F3396A"/>
    <w:multiLevelType w:val="hybridMultilevel"/>
    <w:tmpl w:val="8F5C5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B624A0"/>
    <w:multiLevelType w:val="hybridMultilevel"/>
    <w:tmpl w:val="93AC993C"/>
    <w:lvl w:ilvl="0" w:tplc="5B9CF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40CB"/>
    <w:multiLevelType w:val="hybridMultilevel"/>
    <w:tmpl w:val="C4742D7A"/>
    <w:lvl w:ilvl="0" w:tplc="EAE4D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CC5EDB"/>
    <w:multiLevelType w:val="multilevel"/>
    <w:tmpl w:val="6954329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8D75ED"/>
    <w:multiLevelType w:val="multilevel"/>
    <w:tmpl w:val="8EF24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790022"/>
    <w:multiLevelType w:val="hybridMultilevel"/>
    <w:tmpl w:val="6088B83C"/>
    <w:lvl w:ilvl="0" w:tplc="633C8DCC">
      <w:start w:val="4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8DD7CB2"/>
    <w:multiLevelType w:val="multilevel"/>
    <w:tmpl w:val="306E5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  <w:num w:numId="14">
    <w:abstractNumId w:val="1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4B"/>
    <w:rsid w:val="002E43BA"/>
    <w:rsid w:val="003002FB"/>
    <w:rsid w:val="00320154"/>
    <w:rsid w:val="004D7B05"/>
    <w:rsid w:val="004F364B"/>
    <w:rsid w:val="0056625F"/>
    <w:rsid w:val="005A0AAD"/>
    <w:rsid w:val="005D2A8D"/>
    <w:rsid w:val="00615D65"/>
    <w:rsid w:val="00667CB4"/>
    <w:rsid w:val="006C5F70"/>
    <w:rsid w:val="007E48F8"/>
    <w:rsid w:val="00823A61"/>
    <w:rsid w:val="00941DC0"/>
    <w:rsid w:val="009A7C77"/>
    <w:rsid w:val="00A664B4"/>
    <w:rsid w:val="00AD1C22"/>
    <w:rsid w:val="00AF0C16"/>
    <w:rsid w:val="00B71853"/>
    <w:rsid w:val="00B73BB5"/>
    <w:rsid w:val="00BB2179"/>
    <w:rsid w:val="00BD6041"/>
    <w:rsid w:val="00F84E8E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CA96"/>
  <w15:docId w15:val="{CC8BB713-27A8-414D-B0EA-86AE8D8E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B7185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67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67CB4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6">
    <w:name w:val="Strong"/>
    <w:uiPriority w:val="22"/>
    <w:qFormat/>
    <w:rsid w:val="005D2A8D"/>
    <w:rPr>
      <w:b/>
      <w:bCs/>
    </w:rPr>
  </w:style>
  <w:style w:type="paragraph" w:customStyle="1" w:styleId="rvps2">
    <w:name w:val="rvps2"/>
    <w:basedOn w:val="a"/>
    <w:rsid w:val="005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D7B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D7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17991</Words>
  <Characters>10256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Бондаренко</dc:creator>
  <cp:lastModifiedBy>Володимир В. Бондаренко</cp:lastModifiedBy>
  <cp:revision>3</cp:revision>
  <cp:lastPrinted>2024-04-03T09:31:00Z</cp:lastPrinted>
  <dcterms:created xsi:type="dcterms:W3CDTF">2024-04-03T09:15:00Z</dcterms:created>
  <dcterms:modified xsi:type="dcterms:W3CDTF">2024-04-03T09:51:00Z</dcterms:modified>
</cp:coreProperties>
</file>