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9F3BED9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658293868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658293868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ПЗН-39399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04.02.2022</w:t>
      </w:r>
    </w:p>
    <w:p w14:paraId="279C27D0" w14:textId="759460BF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65372" w:rsidRPr="005B73F2">
        <w:rPr>
          <w:rFonts w:ascii="Times New Roman" w:hAnsi="Times New Roman" w:cs="Times New Roman"/>
          <w:b/>
          <w:sz w:val="24"/>
          <w:szCs w:val="24"/>
        </w:rPr>
        <w:t>надання Представництву Американського об'єднання комітетів для євреїв бувшого Радянського союзу дозволу на розроблення проєкту землеустрою щодо організації території історико-культурного призначення щодо місць давніх поховань - Єврейське кладовище (</w:t>
      </w:r>
      <w:proofErr w:type="spellStart"/>
      <w:r w:rsidR="00265372" w:rsidRPr="005B73F2">
        <w:rPr>
          <w:rFonts w:ascii="Times New Roman" w:hAnsi="Times New Roman" w:cs="Times New Roman"/>
          <w:b/>
          <w:sz w:val="24"/>
          <w:szCs w:val="24"/>
        </w:rPr>
        <w:t>кіркут</w:t>
      </w:r>
      <w:proofErr w:type="spellEnd"/>
      <w:r w:rsidR="00265372" w:rsidRPr="005B73F2">
        <w:rPr>
          <w:rFonts w:ascii="Times New Roman" w:hAnsi="Times New Roman" w:cs="Times New Roman"/>
          <w:b/>
          <w:sz w:val="24"/>
          <w:szCs w:val="24"/>
        </w:rPr>
        <w:t>) (Лук'янівське єврейське кладовище) між вул. Юрія Іллєнка та Реп'яховим яром у Шевченківському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265372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Представництво Американського об'єднання комітетів для євреїв бувшого Радянського союзу</w:t>
            </w:r>
          </w:p>
        </w:tc>
      </w:tr>
      <w:tr w:rsidR="003C0A13" w14:paraId="745C51F1" w14:textId="77777777" w:rsidTr="00265372">
        <w:trPr>
          <w:cantSplit/>
          <w:trHeight w:hRule="exact" w:val="1149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3987BBC" w:rsidR="003C0A13" w:rsidRPr="00265372" w:rsidRDefault="00265372" w:rsidP="00265372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265372">
              <w:rPr>
                <w:i/>
                <w:iCs/>
                <w:sz w:val="24"/>
                <w:szCs w:val="24"/>
              </w:rPr>
              <w:t xml:space="preserve">ОБ'ЄДНАННЯ КОМІТЕТІВ НА ЗАХИСТ ЄВРЕЇВ РАДЯНСЬКОГО СОЮЗУ, Місцезнаходження: Сполучені Штати Америки, </w:t>
            </w:r>
            <w:proofErr w:type="spellStart"/>
            <w:r w:rsidRPr="00265372">
              <w:rPr>
                <w:i/>
                <w:iCs/>
                <w:sz w:val="24"/>
                <w:szCs w:val="24"/>
              </w:rPr>
              <w:t>Массачусетс</w:t>
            </w:r>
            <w:proofErr w:type="spellEnd"/>
            <w:r w:rsidRPr="00265372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65372">
              <w:rPr>
                <w:i/>
                <w:iCs/>
                <w:sz w:val="24"/>
                <w:szCs w:val="24"/>
              </w:rPr>
              <w:t>Уолтхем</w:t>
            </w:r>
            <w:proofErr w:type="spellEnd"/>
            <w:r w:rsidRPr="00265372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65372">
              <w:rPr>
                <w:i/>
                <w:iCs/>
                <w:sz w:val="24"/>
                <w:szCs w:val="24"/>
              </w:rPr>
              <w:t>Кресент</w:t>
            </w:r>
            <w:proofErr w:type="spellEnd"/>
            <w:r w:rsidRPr="00265372">
              <w:rPr>
                <w:i/>
                <w:iCs/>
                <w:sz w:val="24"/>
                <w:szCs w:val="24"/>
              </w:rPr>
              <w:t xml:space="preserve"> </w:t>
            </w:r>
            <w:r w:rsidRPr="00265372">
              <w:rPr>
                <w:i/>
                <w:iCs/>
                <w:sz w:val="24"/>
                <w:szCs w:val="24"/>
              </w:rPr>
              <w:br/>
            </w:r>
            <w:proofErr w:type="spellStart"/>
            <w:r w:rsidRPr="00265372">
              <w:rPr>
                <w:i/>
                <w:iCs/>
                <w:sz w:val="24"/>
                <w:szCs w:val="24"/>
              </w:rPr>
              <w:t>стріт</w:t>
            </w:r>
            <w:proofErr w:type="spellEnd"/>
            <w:r w:rsidRPr="00265372">
              <w:rPr>
                <w:i/>
                <w:iCs/>
                <w:sz w:val="24"/>
                <w:szCs w:val="24"/>
              </w:rPr>
              <w:t>, 24, 3а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5A07A267" w:rsidR="005660BA" w:rsidRPr="00265372" w:rsidRDefault="00265372" w:rsidP="00265372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265372">
              <w:rPr>
                <w:i/>
                <w:iCs/>
                <w:sz w:val="24"/>
                <w:szCs w:val="24"/>
              </w:rPr>
              <w:t>ЛАРІ ЛЕРНЕР, СПОЛУЧЕНІ ШТАТИ АМЕРИКИ, НЬЮ ДЖЕРСІ, ВОРЕН, ВУЛ. КРАУН ДРАЙВ, БУД.20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265372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03.02.2022 № 658293868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91:105:0032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Шевченківський, між вул. Юрія Іллєнка та Реп'яховим яром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25,00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265372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265372">
              <w:rPr>
                <w:rFonts w:ascii="Times New Roman" w:hAnsi="Times New Roman"/>
                <w:i/>
                <w:lang w:val="uk-UA"/>
              </w:rPr>
              <w:t>для організації території історико-культурного призначення щодо місць давніх поховань - Єврейське кладовище (</w:t>
            </w:r>
            <w:proofErr w:type="spellStart"/>
            <w:r w:rsidRPr="00265372">
              <w:rPr>
                <w:rFonts w:ascii="Times New Roman" w:hAnsi="Times New Roman"/>
                <w:i/>
                <w:lang w:val="uk-UA"/>
              </w:rPr>
              <w:t>кіркут</w:t>
            </w:r>
            <w:proofErr w:type="spellEnd"/>
            <w:r w:rsidRPr="00265372">
              <w:rPr>
                <w:rFonts w:ascii="Times New Roman" w:hAnsi="Times New Roman"/>
                <w:i/>
                <w:lang w:val="uk-UA"/>
              </w:rPr>
              <w:t>) (Лук'янівське єврейське кладовище)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4D1A3E5B" w14:textId="41046842" w:rsidR="00D437FF" w:rsidRDefault="00265372" w:rsidP="006911B8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C670CC">
        <w:rPr>
          <w:sz w:val="24"/>
          <w:szCs w:val="24"/>
        </w:rPr>
        <w:t>Розглянувши клопотання Представництва  Американського об’єднання комітетів для євреїв бувшого Радянського Союзу від 29 березня 2019 року № 152-19 про надання дозволу на виготовлення і замовлення проекту землеустрою щодо організації і встановлення меж території історико-культурного призначення щодо місць давніх поховань – Єврейське кладовище (</w:t>
      </w:r>
      <w:proofErr w:type="spellStart"/>
      <w:r w:rsidRPr="00C670CC">
        <w:rPr>
          <w:sz w:val="24"/>
          <w:szCs w:val="24"/>
        </w:rPr>
        <w:t>кіркут</w:t>
      </w:r>
      <w:proofErr w:type="spellEnd"/>
      <w:r w:rsidRPr="00C670CC">
        <w:rPr>
          <w:sz w:val="24"/>
          <w:szCs w:val="24"/>
        </w:rPr>
        <w:t>) (Лук’янівське єврейське кладовище) між вул.  Іллєнка та Реп’яховим яром у Шевченківському районі міста Києва, керуючись стат</w:t>
      </w:r>
      <w:r>
        <w:rPr>
          <w:sz w:val="24"/>
          <w:szCs w:val="24"/>
        </w:rPr>
        <w:t xml:space="preserve">тею 9 </w:t>
      </w:r>
      <w:r w:rsidRPr="00C670CC">
        <w:rPr>
          <w:sz w:val="24"/>
          <w:szCs w:val="24"/>
        </w:rPr>
        <w:t xml:space="preserve">Земельного кодексу України, </w:t>
      </w:r>
      <w:r w:rsidRPr="0006553F">
        <w:rPr>
          <w:sz w:val="24"/>
          <w:szCs w:val="24"/>
        </w:rPr>
        <w:t xml:space="preserve">статтею 47 Закону України «Про землеустрій», </w:t>
      </w:r>
      <w:r w:rsidRPr="00C670CC">
        <w:rPr>
          <w:sz w:val="24"/>
          <w:szCs w:val="24"/>
        </w:rPr>
        <w:t xml:space="preserve">Законом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на виконання рішення </w:t>
      </w:r>
      <w:r w:rsidRPr="00265372">
        <w:rPr>
          <w:sz w:val="24"/>
          <w:szCs w:val="24"/>
        </w:rPr>
        <w:t>Львівського окружного адміністративного суду від 11 грудня 2019 року</w:t>
      </w:r>
      <w:r w:rsidR="006911B8">
        <w:rPr>
          <w:sz w:val="24"/>
          <w:szCs w:val="24"/>
        </w:rPr>
        <w:t>.</w:t>
      </w:r>
    </w:p>
    <w:p w14:paraId="7BF06E8D" w14:textId="77777777" w:rsidR="006911B8" w:rsidRPr="006911B8" w:rsidRDefault="006911B8" w:rsidP="003F4202">
      <w:pPr>
        <w:pStyle w:val="1"/>
        <w:shd w:val="clear" w:color="auto" w:fill="auto"/>
        <w:tabs>
          <w:tab w:val="left" w:pos="671"/>
          <w:tab w:val="left" w:pos="1134"/>
        </w:tabs>
        <w:spacing w:after="0" w:line="228" w:lineRule="auto"/>
        <w:ind w:left="426" w:firstLine="0"/>
        <w:rPr>
          <w:sz w:val="24"/>
          <w:szCs w:val="24"/>
        </w:rPr>
      </w:pPr>
      <w:bookmarkStart w:id="0" w:name="_GoBack"/>
      <w:bookmarkEnd w:id="0"/>
    </w:p>
    <w:p w14:paraId="105FE328" w14:textId="3DA4F24E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00407D09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50980AF" w14:textId="189A9F2E" w:rsidR="006911B8" w:rsidRDefault="006911B8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ED97542" w14:textId="7774651A" w:rsidR="006911B8" w:rsidRDefault="006911B8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75787A9" w14:textId="77777777" w:rsidR="006911B8" w:rsidRDefault="006911B8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48777A9" w14:textId="77777777" w:rsidR="007C5331" w:rsidRDefault="007C533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413D2AC" w:rsidR="002B31E8" w:rsidRPr="0041184B" w:rsidRDefault="00265372" w:rsidP="005F343B">
            <w:pPr>
              <w:pStyle w:val="1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</w:t>
            </w:r>
            <w:r>
              <w:rPr>
                <w:i/>
                <w:sz w:val="24"/>
                <w:szCs w:val="24"/>
              </w:rPr>
              <w:t>, на якій передбачається встановити межі території історико-культурного призначення,</w:t>
            </w:r>
            <w:r w:rsidRPr="009B44EB">
              <w:rPr>
                <w:i/>
                <w:sz w:val="24"/>
                <w:szCs w:val="24"/>
              </w:rPr>
              <w:t xml:space="preserve"> забудована</w:t>
            </w:r>
            <w:r>
              <w:rPr>
                <w:i/>
                <w:sz w:val="24"/>
                <w:szCs w:val="24"/>
              </w:rPr>
              <w:t xml:space="preserve"> будівлями та спорудами юридичних осіб, а саме: </w:t>
            </w:r>
            <w:r w:rsidRPr="00C670CC">
              <w:rPr>
                <w:i/>
                <w:sz w:val="24"/>
                <w:szCs w:val="24"/>
              </w:rPr>
              <w:t xml:space="preserve">публічного акціонерного товариства </w:t>
            </w:r>
            <w:r>
              <w:rPr>
                <w:i/>
                <w:sz w:val="24"/>
                <w:szCs w:val="24"/>
              </w:rPr>
              <w:t>«</w:t>
            </w:r>
            <w:r w:rsidRPr="00C670CC">
              <w:rPr>
                <w:i/>
                <w:sz w:val="24"/>
                <w:szCs w:val="24"/>
              </w:rPr>
              <w:t>Національна сусп</w:t>
            </w:r>
            <w:r>
              <w:rPr>
                <w:i/>
                <w:sz w:val="24"/>
                <w:szCs w:val="24"/>
              </w:rPr>
              <w:t xml:space="preserve">ільна телерадіокомпанія України», </w:t>
            </w:r>
            <w:r w:rsidRPr="00522579">
              <w:rPr>
                <w:i/>
                <w:sz w:val="24"/>
                <w:szCs w:val="24"/>
              </w:rPr>
              <w:t xml:space="preserve">закритого акціонерного товариства </w:t>
            </w:r>
            <w:r>
              <w:rPr>
                <w:i/>
                <w:sz w:val="24"/>
                <w:szCs w:val="24"/>
              </w:rPr>
              <w:t>«</w:t>
            </w:r>
            <w:r w:rsidRPr="00522579">
              <w:rPr>
                <w:i/>
                <w:sz w:val="24"/>
                <w:szCs w:val="24"/>
              </w:rPr>
              <w:t xml:space="preserve">Домобудівельний комбінат </w:t>
            </w:r>
            <w:r>
              <w:rPr>
                <w:i/>
                <w:sz w:val="24"/>
                <w:szCs w:val="24"/>
              </w:rPr>
              <w:t>№1»</w:t>
            </w:r>
            <w:r w:rsidRPr="00522579">
              <w:rPr>
                <w:i/>
                <w:sz w:val="24"/>
                <w:szCs w:val="24"/>
              </w:rPr>
              <w:t xml:space="preserve">, Головного управління </w:t>
            </w:r>
            <w:proofErr w:type="spellStart"/>
            <w:r w:rsidRPr="00522579">
              <w:rPr>
                <w:i/>
                <w:sz w:val="24"/>
                <w:szCs w:val="24"/>
              </w:rPr>
              <w:t>Держсанепідслужби</w:t>
            </w:r>
            <w:proofErr w:type="spellEnd"/>
            <w:r w:rsidRPr="00522579">
              <w:rPr>
                <w:i/>
                <w:sz w:val="24"/>
                <w:szCs w:val="24"/>
              </w:rPr>
              <w:t xml:space="preserve"> у Київській області, Державного архіву Київської області, Головного управління капітального будівництва Київської обласної державної адміністрації, ДЕРЖАВНОГО ПІДПРИЄМСТВА "С</w:t>
            </w:r>
            <w:r>
              <w:rPr>
                <w:i/>
                <w:sz w:val="24"/>
                <w:szCs w:val="24"/>
              </w:rPr>
              <w:t>ПОРТИВНИЙ КОМПЛЕКС «</w:t>
            </w:r>
            <w:r w:rsidRPr="00522579">
              <w:rPr>
                <w:i/>
                <w:sz w:val="24"/>
                <w:szCs w:val="24"/>
              </w:rPr>
              <w:t>АВАНГАРД</w:t>
            </w:r>
            <w:r>
              <w:rPr>
                <w:i/>
                <w:sz w:val="24"/>
                <w:szCs w:val="24"/>
              </w:rPr>
              <w:t>»</w:t>
            </w:r>
            <w:r w:rsidRPr="00522579">
              <w:rPr>
                <w:i/>
                <w:sz w:val="24"/>
                <w:szCs w:val="24"/>
              </w:rPr>
              <w:t xml:space="preserve">, Благодійної організації </w:t>
            </w:r>
            <w:r>
              <w:rPr>
                <w:i/>
                <w:sz w:val="24"/>
                <w:szCs w:val="24"/>
              </w:rPr>
              <w:t>«</w:t>
            </w:r>
            <w:r w:rsidRPr="00522579">
              <w:rPr>
                <w:i/>
                <w:sz w:val="24"/>
                <w:szCs w:val="24"/>
              </w:rPr>
              <w:t>Фонд пам'яті</w:t>
            </w:r>
            <w:r w:rsidRPr="00660B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r w:rsidRPr="00522579">
              <w:rPr>
                <w:i/>
                <w:sz w:val="24"/>
                <w:szCs w:val="24"/>
              </w:rPr>
              <w:t>Бабин Яр</w:t>
            </w:r>
            <w:r>
              <w:rPr>
                <w:i/>
                <w:sz w:val="24"/>
                <w:szCs w:val="24"/>
              </w:rPr>
              <w:t>»</w:t>
            </w:r>
            <w:r w:rsidRPr="00522579">
              <w:rPr>
                <w:i/>
                <w:sz w:val="24"/>
                <w:szCs w:val="24"/>
              </w:rPr>
              <w:t xml:space="preserve">, Громадської організації спортивно-технічний центр товариства сприяння обороні України </w:t>
            </w:r>
            <w:r>
              <w:rPr>
                <w:i/>
                <w:sz w:val="24"/>
                <w:szCs w:val="24"/>
              </w:rPr>
              <w:t>«</w:t>
            </w:r>
            <w:r w:rsidRPr="00522579">
              <w:rPr>
                <w:i/>
                <w:sz w:val="24"/>
                <w:szCs w:val="24"/>
              </w:rPr>
              <w:t>Відродження</w:t>
            </w:r>
            <w:r>
              <w:rPr>
                <w:i/>
                <w:sz w:val="24"/>
                <w:szCs w:val="24"/>
              </w:rPr>
              <w:t>»</w:t>
            </w:r>
            <w:r w:rsidRPr="00522579">
              <w:rPr>
                <w:i/>
                <w:sz w:val="24"/>
                <w:szCs w:val="24"/>
              </w:rPr>
              <w:t>, ТОВАРИСТВА З ОБМЕЖЕНОЮ ВІДПОВІДАЛЬНІСТЮ "НАУКОВО-ВИРОБНИЧА ФІРМА</w:t>
            </w:r>
            <w:r>
              <w:rPr>
                <w:i/>
                <w:sz w:val="24"/>
                <w:szCs w:val="24"/>
              </w:rPr>
              <w:t xml:space="preserve"> «</w:t>
            </w:r>
            <w:r w:rsidRPr="00522579">
              <w:rPr>
                <w:i/>
                <w:sz w:val="24"/>
                <w:szCs w:val="24"/>
              </w:rPr>
              <w:t>МТК</w:t>
            </w:r>
            <w:r>
              <w:rPr>
                <w:i/>
                <w:sz w:val="24"/>
                <w:szCs w:val="24"/>
              </w:rPr>
              <w:t>»</w:t>
            </w:r>
            <w:r w:rsidRPr="00522579">
              <w:rPr>
                <w:i/>
                <w:sz w:val="24"/>
                <w:szCs w:val="24"/>
              </w:rPr>
              <w:t>, товариств</w:t>
            </w:r>
            <w:r>
              <w:rPr>
                <w:i/>
                <w:sz w:val="24"/>
                <w:szCs w:val="24"/>
              </w:rPr>
              <w:t>а з обмеженою відповідальністю «Фірма «</w:t>
            </w:r>
            <w:r w:rsidRPr="00522579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»</w:t>
            </w:r>
            <w:r w:rsidRPr="00522579">
              <w:rPr>
                <w:i/>
                <w:sz w:val="24"/>
                <w:szCs w:val="24"/>
              </w:rPr>
              <w:t>, комунального підприємства по утриманню зелених насаджень Шевченківського району м. Києва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110A36">
              <w:rPr>
                <w:i/>
                <w:sz w:val="24"/>
                <w:szCs w:val="24"/>
              </w:rPr>
              <w:t xml:space="preserve">інформаційні довідки з Державного реєстру речових прав на нерухоме </w:t>
            </w:r>
            <w:r w:rsidRPr="005F343B">
              <w:rPr>
                <w:i/>
                <w:color w:val="auto"/>
                <w:sz w:val="24"/>
                <w:szCs w:val="24"/>
              </w:rPr>
              <w:t xml:space="preserve">майно від </w:t>
            </w:r>
            <w:r w:rsidR="005F343B" w:rsidRPr="005F343B">
              <w:rPr>
                <w:i/>
                <w:color w:val="auto"/>
                <w:sz w:val="24"/>
                <w:szCs w:val="24"/>
              </w:rPr>
              <w:t>07.02.2022</w:t>
            </w:r>
            <w:r w:rsidRPr="005F343B">
              <w:rPr>
                <w:i/>
                <w:color w:val="auto"/>
                <w:sz w:val="24"/>
                <w:szCs w:val="24"/>
              </w:rPr>
              <w:t xml:space="preserve"> №№ </w:t>
            </w:r>
            <w:r w:rsidR="005F343B" w:rsidRPr="005F343B">
              <w:rPr>
                <w:i/>
                <w:color w:val="auto"/>
                <w:sz w:val="24"/>
                <w:szCs w:val="24"/>
              </w:rPr>
              <w:t>298129952, 298129828, 298129732</w:t>
            </w:r>
            <w:r w:rsidRPr="005F343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2B31E8" w:rsidRPr="003774B2" w14:paraId="2E1CCB39" w14:textId="77777777" w:rsidTr="00265372">
        <w:trPr>
          <w:cantSplit/>
          <w:trHeight w:val="373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CB9286C" w:rsidR="002B31E8" w:rsidRPr="0041184B" w:rsidRDefault="00265372" w:rsidP="0089260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89260A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89260A">
              <w:rPr>
                <w:i/>
                <w:sz w:val="24"/>
                <w:szCs w:val="24"/>
              </w:rPr>
              <w:t xml:space="preserve">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89260A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</w:t>
            </w:r>
            <w:r w:rsidR="0089260A">
              <w:rPr>
                <w:i/>
                <w:sz w:val="24"/>
                <w:szCs w:val="24"/>
              </w:rPr>
              <w:t xml:space="preserve">частково </w:t>
            </w:r>
            <w:r w:rsidRPr="00175FD0">
              <w:rPr>
                <w:i/>
                <w:sz w:val="24"/>
                <w:szCs w:val="24"/>
              </w:rPr>
              <w:t xml:space="preserve">до території </w:t>
            </w:r>
            <w:r w:rsidRPr="005A227D">
              <w:rPr>
                <w:i/>
                <w:sz w:val="24"/>
                <w:szCs w:val="24"/>
              </w:rPr>
              <w:t>громадських будівель та споруд</w:t>
            </w:r>
            <w:r w:rsidR="0089260A">
              <w:rPr>
                <w:i/>
                <w:sz w:val="24"/>
                <w:szCs w:val="24"/>
              </w:rPr>
              <w:t xml:space="preserve"> та частково до території зелених насаджень загального користування.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B37D696" w:rsidR="002B31E8" w:rsidRPr="003774B2" w:rsidRDefault="0089260A" w:rsidP="008926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260A">
              <w:rPr>
                <w:rFonts w:ascii="Times New Roman" w:eastAsia="Times New Roman" w:hAnsi="Times New Roman" w:cs="Times New Roman"/>
                <w:i/>
              </w:rPr>
              <w:t xml:space="preserve"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частина </w:t>
            </w:r>
            <w:r w:rsidR="00265372">
              <w:rPr>
                <w:rFonts w:ascii="Times New Roman" w:eastAsia="Times New Roman" w:hAnsi="Times New Roman" w:cs="Times New Roman"/>
                <w:i/>
              </w:rPr>
              <w:t>з</w:t>
            </w:r>
            <w:r w:rsidR="00265372" w:rsidRPr="00531C91">
              <w:rPr>
                <w:rFonts w:ascii="Times New Roman" w:eastAsia="Times New Roman" w:hAnsi="Times New Roman" w:cs="Times New Roman"/>
                <w:i/>
              </w:rPr>
              <w:t>емельн</w:t>
            </w:r>
            <w:r w:rsidR="00265372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265372" w:rsidRPr="00531C91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265372">
              <w:rPr>
                <w:rFonts w:ascii="Times New Roman" w:eastAsia="Times New Roman" w:hAnsi="Times New Roman" w:cs="Times New Roman"/>
                <w:i/>
              </w:rPr>
              <w:t>и</w:t>
            </w:r>
            <w:r w:rsidR="00265372" w:rsidRPr="00531C91">
              <w:rPr>
                <w:rFonts w:ascii="Times New Roman" w:eastAsia="Times New Roman" w:hAnsi="Times New Roman" w:cs="Times New Roman"/>
                <w:i/>
              </w:rPr>
              <w:t xml:space="preserve"> розташована в зеленій зоні</w:t>
            </w:r>
            <w:r w:rsidR="00265372">
              <w:rPr>
                <w:rFonts w:ascii="Times New Roman" w:eastAsia="Times New Roman" w:hAnsi="Times New Roman" w:cs="Times New Roman"/>
                <w:i/>
              </w:rPr>
              <w:t xml:space="preserve"> («</w:t>
            </w:r>
            <w:r w:rsidR="00265372" w:rsidRPr="000E3E16">
              <w:rPr>
                <w:rFonts w:ascii="Times New Roman" w:eastAsia="Times New Roman" w:hAnsi="Times New Roman" w:cs="Times New Roman"/>
                <w:i/>
              </w:rPr>
              <w:t>Бабин Яр</w:t>
            </w:r>
            <w:r w:rsidR="00265372">
              <w:rPr>
                <w:rFonts w:ascii="Times New Roman" w:eastAsia="Times New Roman" w:hAnsi="Times New Roman" w:cs="Times New Roman"/>
                <w:i/>
              </w:rPr>
              <w:t>», к</w:t>
            </w:r>
            <w:r w:rsidR="00265372" w:rsidRPr="000E3E16">
              <w:rPr>
                <w:rFonts w:ascii="Times New Roman" w:eastAsia="Times New Roman" w:hAnsi="Times New Roman" w:cs="Times New Roman"/>
                <w:i/>
              </w:rPr>
              <w:t>од10)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4C7A55D1" w14:textId="7C002E29" w:rsidR="00CA049A" w:rsidRDefault="00CA049A" w:rsidP="00C0087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3D210A">
              <w:rPr>
                <w:rFonts w:ascii="Times New Roman" w:hAnsi="Times New Roman" w:cs="Times New Roman"/>
                <w:i/>
              </w:rPr>
              <w:t>Надання дозволу на розроблення проєкту землеустрою щодо організації території історико-культурного призначення нормативно-правовими актами не передбачено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9A25DD8" w14:textId="632ECB41" w:rsidR="00486A4D" w:rsidRPr="00CA049A" w:rsidRDefault="00CA049A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  </w:t>
            </w:r>
            <w:r w:rsidRPr="00A24AFD">
              <w:rPr>
                <w:rFonts w:ascii="Times New Roman" w:hAnsi="Times New Roman" w:cs="Times New Roman"/>
                <w:i/>
                <w:color w:val="auto"/>
              </w:rPr>
              <w:t>Рішенням Львівського окружного адміністративного суду від 11.12.2019 у справі № 1.380.2019.002420,  залишен</w:t>
            </w:r>
            <w:r>
              <w:rPr>
                <w:rFonts w:ascii="Times New Roman" w:hAnsi="Times New Roman" w:cs="Times New Roman"/>
                <w:i/>
                <w:color w:val="auto"/>
              </w:rPr>
              <w:t>им</w:t>
            </w:r>
            <w:r w:rsidRPr="00A24AFD">
              <w:rPr>
                <w:rFonts w:ascii="Times New Roman" w:hAnsi="Times New Roman" w:cs="Times New Roman"/>
                <w:i/>
                <w:color w:val="auto"/>
              </w:rPr>
              <w:t xml:space="preserve"> без змін постановою </w:t>
            </w:r>
            <w:r>
              <w:rPr>
                <w:rFonts w:ascii="Times New Roman" w:hAnsi="Times New Roman" w:cs="Times New Roman"/>
                <w:i/>
                <w:color w:val="auto"/>
              </w:rPr>
              <w:t>Восьмого апеляційного адміністративного суду від 2</w:t>
            </w:r>
            <w:r w:rsidRPr="00B24BAF">
              <w:rPr>
                <w:rFonts w:ascii="Times New Roman" w:hAnsi="Times New Roman" w:cs="Times New Roman"/>
                <w:i/>
                <w:color w:val="auto"/>
              </w:rPr>
              <w:t>6.05.2020</w:t>
            </w:r>
            <w:r w:rsidRPr="00660B92">
              <w:rPr>
                <w:rFonts w:ascii="Times New Roman" w:hAnsi="Times New Roman" w:cs="Times New Roman"/>
                <w:i/>
                <w:color w:val="auto"/>
              </w:rPr>
              <w:t xml:space="preserve"> Київську міську раду зобов’язано надати Представництву Американського об'єднання комітетів для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660B92">
              <w:rPr>
                <w:rFonts w:ascii="Times New Roman" w:hAnsi="Times New Roman" w:cs="Times New Roman"/>
                <w:i/>
                <w:color w:val="auto"/>
              </w:rPr>
              <w:t>євреїв бувшого Радянського союзу дозволу на розроблення проєкту землеустрою щодо організації території історико-культурного призначення щодо місць давніх поховань - Єврейське кладовище (</w:t>
            </w:r>
            <w:proofErr w:type="spellStart"/>
            <w:r w:rsidRPr="00660B92">
              <w:rPr>
                <w:rFonts w:ascii="Times New Roman" w:hAnsi="Times New Roman" w:cs="Times New Roman"/>
                <w:i/>
                <w:color w:val="auto"/>
              </w:rPr>
              <w:t>кіркут</w:t>
            </w:r>
            <w:proofErr w:type="spellEnd"/>
            <w:r w:rsidRPr="00660B92">
              <w:rPr>
                <w:rFonts w:ascii="Times New Roman" w:hAnsi="Times New Roman" w:cs="Times New Roman"/>
                <w:i/>
                <w:color w:val="auto"/>
              </w:rPr>
              <w:t>) (Лук'янівське єврейське кладовище) між вул. Юрія Іллєнка та Реп'яховим яром у Шевченківському районі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CA049A" w:rsidRPr="003774B2" w14:paraId="01F12430" w14:textId="77777777" w:rsidTr="00E267AF">
        <w:trPr>
          <w:cantSplit/>
          <w:trHeight w:val="563"/>
        </w:trPr>
        <w:tc>
          <w:tcPr>
            <w:tcW w:w="3167" w:type="dxa"/>
          </w:tcPr>
          <w:p w14:paraId="01BF5FA3" w14:textId="77777777" w:rsidR="00CA049A" w:rsidRDefault="00CA049A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63AB98EF" w14:textId="6A37F1EB" w:rsidR="00CA049A" w:rsidRPr="005F343B" w:rsidRDefault="00CA049A" w:rsidP="00CA04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43B">
              <w:rPr>
                <w:rFonts w:ascii="Times New Roman" w:hAnsi="Times New Roman" w:cs="Times New Roman"/>
                <w:i/>
              </w:rPr>
              <w:t xml:space="preserve">        Відповідно до статті 255 Кодексу адміністративного судочинства України (далі – КАС України) рішення суду набирає законної сили, зокрема після прийняття постанови судом апеляційної інстанції за наслідками апеляційного перегляду.</w:t>
            </w:r>
          </w:p>
          <w:p w14:paraId="4916ED61" w14:textId="77777777" w:rsidR="00CA049A" w:rsidRPr="00CA049A" w:rsidRDefault="00CA049A" w:rsidP="00CA049A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F343B">
              <w:rPr>
                <w:rFonts w:ascii="Times New Roman" w:hAnsi="Times New Roman" w:cs="Times New Roman"/>
                <w:i/>
              </w:rPr>
              <w:t xml:space="preserve">        Відповідно до статті 129-1 Конституції України, статті 13 Закону України «Про судоустрій і статус суддів», статті 370 КАС України рішення суду є загальнообов’язковим для виконання. </w:t>
            </w:r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За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невиконання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судового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встановлена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відповідальність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статтею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382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Кримінального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кодексу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031A95AC" w14:textId="77777777" w:rsidR="00CA049A" w:rsidRDefault="00CA049A" w:rsidP="00CA049A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660B92">
              <w:rPr>
                <w:rFonts w:ascii="Times New Roman" w:hAnsi="Times New Roman" w:cs="Times New Roman"/>
                <w:i/>
                <w:lang w:val="ru-RU"/>
              </w:rPr>
              <w:t xml:space="preserve">       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Враховуючи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викладене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Львівського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окружного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адміністративного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суду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11.12.2019 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справі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     № 1.380.2019.002420 набрало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законної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сили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і є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обов’язковим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виконання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всій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території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25C49767" w14:textId="0A924398" w:rsidR="00CA049A" w:rsidRPr="00CA049A" w:rsidRDefault="00CA049A" w:rsidP="00CA049A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інформації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судових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рішень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ухвалою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Верховного Суду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22.10.2020 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справі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</w:t>
            </w:r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№ 1.380.2019.002420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відмовлено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задоволені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заяви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ради про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зупинення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виконання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Львівського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окружного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адміністративного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суду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11.12.2019 у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вказаній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A049A">
              <w:rPr>
                <w:rFonts w:ascii="Times New Roman" w:hAnsi="Times New Roman" w:cs="Times New Roman"/>
                <w:i/>
                <w:lang w:val="ru-RU"/>
              </w:rPr>
              <w:t>справі</w:t>
            </w:r>
            <w:proofErr w:type="spellEnd"/>
            <w:r w:rsidRPr="00CA049A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78469DAD" w:rsidR="00082B59" w:rsidRDefault="00CA049A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5257A4">
        <w:rPr>
          <w:sz w:val="24"/>
          <w:szCs w:val="24"/>
        </w:rPr>
        <w:t>Відповідно до статті 129-1 Конституції України та статті 370 Кодексу адміністративного судочинства України судове рішення є обов’язковим до виконання</w:t>
      </w:r>
      <w:r w:rsidR="00082B59" w:rsidRPr="00CD189E">
        <w:rPr>
          <w:sz w:val="24"/>
          <w:szCs w:val="24"/>
        </w:rPr>
        <w:t>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5660B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стане:</w:t>
      </w:r>
    </w:p>
    <w:p w14:paraId="1F48D0EC" w14:textId="77777777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265372">
      <w:rPr>
        <w:rFonts w:ascii="Times New Roman" w:hAnsi="Times New Roman" w:cs="Times New Roman"/>
        <w:i w:val="0"/>
        <w:sz w:val="12"/>
        <w:szCs w:val="12"/>
        <w:lang w:val="ru-RU"/>
      </w:rPr>
      <w:t>ПЗН-39399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265372">
      <w:rPr>
        <w:rFonts w:ascii="Times New Roman" w:hAnsi="Times New Roman" w:cs="Times New Roman"/>
        <w:bCs/>
        <w:i w:val="0"/>
        <w:sz w:val="12"/>
        <w:szCs w:val="12"/>
        <w:lang w:val="ru-RU"/>
      </w:rPr>
      <w:t>04.02.2022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658293868</w:t>
    </w:r>
  </w:p>
  <w:p w14:paraId="28309D3E" w14:textId="06F9AC8D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55ED7" w:rsidRPr="00955ED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5372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3F4202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3F29"/>
    <w:rsid w:val="005E7ED3"/>
    <w:rsid w:val="005F343B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11B8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C5331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9260A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55ED7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049A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vitlana.tekut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6972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Текутова Світлана Миколаївна</dc:creator>
  <cp:lastModifiedBy>Луцюк Людмила Володимирівна</cp:lastModifiedBy>
  <cp:revision>9</cp:revision>
  <cp:lastPrinted>2022-06-13T08:33:00Z</cp:lastPrinted>
  <dcterms:created xsi:type="dcterms:W3CDTF">2022-02-04T13:07:00Z</dcterms:created>
  <dcterms:modified xsi:type="dcterms:W3CDTF">2022-06-13T08:34:00Z</dcterms:modified>
</cp:coreProperties>
</file>