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407161C3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="00797061">
                              <w:rPr>
                                <w:bCs/>
                                <w:sz w:val="14"/>
                                <w:szCs w:val="14"/>
                              </w:rPr>
                              <w:t>клопотання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675200138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407161C3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="00797061">
                        <w:rPr>
                          <w:bCs/>
                          <w:sz w:val="14"/>
                          <w:szCs w:val="14"/>
                        </w:rPr>
                        <w:t>клопотання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675200138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F5EF114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797061">
        <w:rPr>
          <w:b/>
          <w:bCs/>
          <w:i w:val="0"/>
          <w:iCs w:val="0"/>
          <w:sz w:val="24"/>
          <w:szCs w:val="24"/>
        </w:rPr>
        <w:t>ПЗН-57421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797061">
        <w:rPr>
          <w:b/>
          <w:bCs/>
          <w:i w:val="0"/>
          <w:sz w:val="24"/>
          <w:szCs w:val="24"/>
        </w:rPr>
        <w:t>29.08.2023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59CD3413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447AB3">
        <w:rPr>
          <w:rFonts w:eastAsia="Georgia"/>
          <w:b/>
          <w:i/>
          <w:iCs/>
          <w:sz w:val="24"/>
          <w:szCs w:val="24"/>
        </w:rPr>
        <w:t>ТОВАРИСТВ</w:t>
      </w:r>
      <w:r w:rsidR="00447AB3" w:rsidRPr="00447AB3">
        <w:rPr>
          <w:rFonts w:eastAsia="Georgia"/>
          <w:b/>
          <w:i/>
          <w:iCs/>
          <w:sz w:val="24"/>
          <w:szCs w:val="24"/>
        </w:rPr>
        <w:t>У</w:t>
      </w:r>
      <w:r w:rsidR="00D40637" w:rsidRPr="00447AB3">
        <w:rPr>
          <w:rFonts w:eastAsia="Georgia"/>
          <w:b/>
          <w:i/>
          <w:iCs/>
          <w:sz w:val="24"/>
          <w:szCs w:val="24"/>
        </w:rPr>
        <w:t xml:space="preserve"> З ОБМЕЖЕНОЮ ВІДПОВІДАЛЬНІСТЮ «УНІВЕРСАМ «ХАРКІВ»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</w:t>
      </w:r>
      <w:proofErr w:type="spellStart"/>
      <w:r w:rsidR="00055057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="00055057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447AB3">
        <w:rPr>
          <w:rFonts w:eastAsia="Georgia"/>
          <w:b/>
          <w:i/>
          <w:iCs/>
          <w:sz w:val="24"/>
          <w:szCs w:val="24"/>
        </w:rPr>
        <w:t xml:space="preserve">для </w:t>
      </w:r>
      <w:r w:rsidR="00854AC5" w:rsidRPr="00854AC5">
        <w:rPr>
          <w:b/>
          <w:bCs/>
          <w:i/>
          <w:sz w:val="24"/>
          <w:szCs w:val="24"/>
        </w:rPr>
        <w:t>розміщення</w:t>
      </w:r>
      <w:r w:rsidR="00013D8D">
        <w:rPr>
          <w:b/>
          <w:bCs/>
          <w:i/>
          <w:sz w:val="24"/>
          <w:szCs w:val="24"/>
        </w:rPr>
        <w:t>,</w:t>
      </w:r>
      <w:r w:rsidR="00854AC5" w:rsidRPr="00854AC5">
        <w:rPr>
          <w:b/>
          <w:bCs/>
          <w:i/>
          <w:sz w:val="24"/>
          <w:szCs w:val="24"/>
        </w:rPr>
        <w:t xml:space="preserve"> </w:t>
      </w:r>
      <w:r w:rsidR="00013D8D" w:rsidRPr="00013D8D">
        <w:rPr>
          <w:b/>
          <w:bCs/>
          <w:i/>
          <w:sz w:val="24"/>
          <w:szCs w:val="24"/>
        </w:rPr>
        <w:t>обслуговування</w:t>
      </w:r>
      <w:r w:rsidR="00013D8D">
        <w:rPr>
          <w:b/>
          <w:bCs/>
          <w:sz w:val="28"/>
          <w:szCs w:val="28"/>
        </w:rPr>
        <w:t xml:space="preserve"> </w:t>
      </w:r>
      <w:r w:rsidR="00854AC5" w:rsidRPr="00854AC5">
        <w:rPr>
          <w:b/>
          <w:bCs/>
          <w:i/>
          <w:sz w:val="24"/>
          <w:szCs w:val="24"/>
        </w:rPr>
        <w:t>об’єктів транспортної інфраструктури</w:t>
      </w:r>
      <w:r w:rsidR="00447AB3">
        <w:rPr>
          <w:rFonts w:eastAsia="Georgia"/>
          <w:b/>
          <w:i/>
          <w:iCs/>
          <w:sz w:val="24"/>
          <w:szCs w:val="24"/>
        </w:rPr>
        <w:t xml:space="preserve"> </w:t>
      </w:r>
      <w:r w:rsidR="001A1EF6">
        <w:rPr>
          <w:rFonts w:eastAsia="Georgia"/>
          <w:b/>
          <w:i/>
          <w:iCs/>
          <w:sz w:val="24"/>
          <w:szCs w:val="24"/>
        </w:rPr>
        <w:t xml:space="preserve">(заїзди, виїзди) </w:t>
      </w: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854AC5">
        <w:rPr>
          <w:rFonts w:eastAsia="Georgia"/>
          <w:b/>
          <w:i/>
          <w:iCs/>
          <w:sz w:val="24"/>
          <w:szCs w:val="24"/>
        </w:rPr>
        <w:t xml:space="preserve">                           </w:t>
      </w:r>
      <w:r w:rsidR="00D40637" w:rsidRPr="00CF2418">
        <w:rPr>
          <w:rFonts w:eastAsia="Georgia"/>
          <w:b/>
          <w:i/>
          <w:iCs/>
          <w:sz w:val="24"/>
          <w:szCs w:val="24"/>
        </w:rPr>
        <w:t>вул. Архітектора Вербицького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Дарницькому </w:t>
      </w:r>
      <w:r w:rsidRPr="00CF2418">
        <w:rPr>
          <w:rFonts w:eastAsia="Georgia"/>
          <w:b/>
          <w:i/>
          <w:iCs/>
          <w:sz w:val="24"/>
          <w:szCs w:val="24"/>
        </w:rPr>
        <w:t xml:space="preserve">районі </w:t>
      </w:r>
      <w:r w:rsidR="00854AC5">
        <w:rPr>
          <w:rFonts w:eastAsia="Georgia"/>
          <w:b/>
          <w:i/>
          <w:iCs/>
          <w:sz w:val="24"/>
          <w:szCs w:val="24"/>
        </w:rPr>
        <w:t xml:space="preserve">                           </w:t>
      </w:r>
      <w:r w:rsidRPr="00CF2418">
        <w:rPr>
          <w:rFonts w:eastAsia="Georgia"/>
          <w:b/>
          <w:i/>
          <w:iCs/>
          <w:sz w:val="24"/>
          <w:szCs w:val="24"/>
        </w:rPr>
        <w:t>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1A1EF6">
        <w:trPr>
          <w:cantSplit/>
          <w:trHeight w:val="6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«УНІВЕРСАМ «ХАРКІВ»</w:t>
            </w:r>
          </w:p>
        </w:tc>
      </w:tr>
      <w:tr w:rsidR="00E94376" w:rsidRPr="0057685E" w14:paraId="771EC876" w14:textId="77777777" w:rsidTr="001A1EF6">
        <w:trPr>
          <w:cantSplit/>
          <w:trHeight w:val="2389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2CB2F272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A15948B" w14:textId="59438592" w:rsidR="00E94376" w:rsidRDefault="0040518D" w:rsidP="00334E6B">
            <w:pPr>
              <w:pStyle w:val="a7"/>
              <w:shd w:val="clear" w:color="auto" w:fill="auto"/>
              <w:jc w:val="both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Нікітіч</w:t>
            </w:r>
            <w:proofErr w:type="spellEnd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 Володимир Валерійович, Україна, 69097, Запорізька обл., місто Запоріжжя, вул. </w:t>
            </w:r>
            <w:proofErr w:type="spellStart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Лахтінська</w:t>
            </w:r>
            <w:proofErr w:type="spellEnd"/>
            <w:r w:rsidR="00E75905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;</w:t>
            </w:r>
          </w:p>
          <w:p w14:paraId="02888601" w14:textId="77777777" w:rsidR="000C3E6B" w:rsidRPr="0040518D" w:rsidRDefault="000C3E6B" w:rsidP="00334E6B">
            <w:pPr>
              <w:pStyle w:val="a7"/>
              <w:shd w:val="clear" w:color="auto" w:fill="auto"/>
              <w:jc w:val="both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</w:pPr>
          </w:p>
          <w:p w14:paraId="7FFE0498" w14:textId="372B6DED" w:rsidR="000C3E6B" w:rsidRDefault="00807AA4" w:rsidP="0040518D">
            <w:pPr>
              <w:pStyle w:val="a7"/>
              <w:shd w:val="clear" w:color="auto" w:fill="auto"/>
              <w:rPr>
                <w:b w:val="0"/>
                <w:i/>
                <w:color w:val="auto"/>
                <w:sz w:val="24"/>
                <w:szCs w:val="24"/>
              </w:rPr>
            </w:pPr>
            <w:hyperlink r:id="rId10" w:history="1">
              <w:r w:rsidR="0040518D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АКЦІОНЕРНЕ ТОВАРИСТВО «</w:t>
              </w:r>
              <w:r w:rsidR="0040518D" w:rsidRPr="0040518D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ЗАКРИТИЙ НЕДИВЕРСИФІКОВАНИЙ ВЕНЧУРНИЙ КОРПОРАТИВНИЙ ІНВЕСТИЦІЙНИЙ ФОНД </w:t>
              </w:r>
              <w:r w:rsidR="0040518D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40518D" w:rsidRPr="0040518D">
                <w:rPr>
                  <w:rStyle w:val="af2"/>
                  <w:b w:val="0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АЙКЮ-ІНВЕСТМЕНТ</w:t>
              </w:r>
            </w:hyperlink>
            <w:r w:rsidR="0040518D">
              <w:rPr>
                <w:b w:val="0"/>
                <w:i/>
                <w:color w:val="auto"/>
                <w:sz w:val="24"/>
                <w:szCs w:val="24"/>
              </w:rPr>
              <w:t>»</w:t>
            </w:r>
            <w:r w:rsidR="001102AB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</w:p>
          <w:p w14:paraId="08C13519" w14:textId="715C89FA" w:rsidR="0040518D" w:rsidRPr="0040518D" w:rsidRDefault="001102AB" w:rsidP="000C3E6B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Україна, 01033, м. Київ, вул. Саксаганського, 52А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17CE97BC" w:rsidR="0045666D" w:rsidRPr="0057685E" w:rsidRDefault="003B3924" w:rsidP="001A1EF6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</w:p>
        </w:tc>
        <w:tc>
          <w:tcPr>
            <w:tcW w:w="6344" w:type="dxa"/>
          </w:tcPr>
          <w:p w14:paraId="7119BDE8" w14:textId="08D4CA6D" w:rsidR="00E94376" w:rsidRPr="0057685E" w:rsidRDefault="00E75905" w:rsidP="008E0E9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Нікітіч</w:t>
            </w:r>
            <w:proofErr w:type="spellEnd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 xml:space="preserve"> Володимир Валерійович, Україна, 69097, Запорізька обл., місто Запоріжжя, вул. </w:t>
            </w:r>
            <w:proofErr w:type="spellStart"/>
            <w:r w:rsidRPr="0040518D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Лахтінська</w:t>
            </w:r>
            <w:proofErr w:type="spellEnd"/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11.08.2023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675200138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0F19AA89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5F7ACC">
        <w:rPr>
          <w:b w:val="0"/>
          <w:sz w:val="24"/>
          <w:szCs w:val="24"/>
        </w:rPr>
        <w:t>кадастровий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8000000000:90:159:0123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8A338E" w:rsidRPr="0057685E" w14:paraId="6CEA0ABA" w14:textId="77777777" w:rsidTr="00797061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79" w:type="dxa"/>
            <w:shd w:val="clear" w:color="auto" w:fill="FFFFFF"/>
          </w:tcPr>
          <w:p w14:paraId="57B24410" w14:textId="77777777" w:rsidR="008A338E" w:rsidRPr="0057685E" w:rsidRDefault="007B72F8" w:rsidP="005F7ACC">
            <w:pPr>
              <w:pStyle w:val="a4"/>
              <w:shd w:val="clear" w:color="auto" w:fill="auto"/>
              <w:spacing w:line="233" w:lineRule="auto"/>
              <w:ind w:left="88" w:right="148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Дарницький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Архітектора Вербицького</w:t>
            </w:r>
          </w:p>
        </w:tc>
      </w:tr>
      <w:tr w:rsidR="008A338E" w:rsidRPr="0057685E" w14:paraId="5B94B40E" w14:textId="77777777" w:rsidTr="001A1EF6">
        <w:trPr>
          <w:trHeight w:hRule="exact" w:val="417"/>
        </w:trPr>
        <w:tc>
          <w:tcPr>
            <w:tcW w:w="3260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79" w:type="dxa"/>
            <w:shd w:val="clear" w:color="auto" w:fill="FFFFFF"/>
          </w:tcPr>
          <w:p w14:paraId="4BB78C78" w14:textId="6BAA5CA4" w:rsidR="008A338E" w:rsidRPr="0057685E" w:rsidRDefault="00726D11" w:rsidP="005F7ACC">
            <w:pPr>
              <w:pStyle w:val="a4"/>
              <w:shd w:val="clear" w:color="auto" w:fill="auto"/>
              <w:ind w:left="88" w:right="148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0,04</w:t>
            </w:r>
            <w:r w:rsidR="005F7ACC">
              <w:rPr>
                <w:i/>
                <w:iCs/>
                <w:sz w:val="24"/>
                <w:szCs w:val="24"/>
              </w:rPr>
              <w:t>4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1A1EF6">
        <w:trPr>
          <w:trHeight w:hRule="exact" w:val="423"/>
        </w:trPr>
        <w:tc>
          <w:tcPr>
            <w:tcW w:w="3260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79" w:type="dxa"/>
            <w:shd w:val="clear" w:color="auto" w:fill="FFFFFF"/>
          </w:tcPr>
          <w:p w14:paraId="25044A34" w14:textId="6CB9C19B" w:rsidR="008A338E" w:rsidRPr="007E3E99" w:rsidRDefault="007E3E99" w:rsidP="005F7ACC">
            <w:pPr>
              <w:pStyle w:val="a4"/>
              <w:shd w:val="clear" w:color="auto" w:fill="auto"/>
              <w:ind w:left="88" w:right="148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право в процесі оформлення (</w:t>
            </w:r>
            <w:r w:rsidR="00726D11" w:rsidRPr="0057685E">
              <w:rPr>
                <w:i/>
                <w:sz w:val="24"/>
                <w:szCs w:val="24"/>
              </w:rPr>
              <w:t>оренда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CF2418" w:rsidRPr="0057685E" w14:paraId="27702FE9" w14:textId="77777777" w:rsidTr="001A1EF6">
        <w:trPr>
          <w:trHeight w:hRule="exact" w:val="709"/>
        </w:trPr>
        <w:tc>
          <w:tcPr>
            <w:tcW w:w="3260" w:type="dxa"/>
            <w:shd w:val="clear" w:color="auto" w:fill="FFFFFF"/>
          </w:tcPr>
          <w:p w14:paraId="2C9BDBEE" w14:textId="19C5B8E9" w:rsidR="00CF2418" w:rsidRPr="00854AC5" w:rsidRDefault="003B3924" w:rsidP="00E51C6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4AC5" w:rsidRPr="00854AC5">
              <w:rPr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379" w:type="dxa"/>
            <w:shd w:val="clear" w:color="auto" w:fill="FFFFFF"/>
          </w:tcPr>
          <w:p w14:paraId="7250F913" w14:textId="401D6A1D" w:rsidR="00CF2418" w:rsidRPr="00854AC5" w:rsidRDefault="00854AC5" w:rsidP="001A1EF6">
            <w:pPr>
              <w:pStyle w:val="a4"/>
              <w:shd w:val="clear" w:color="auto" w:fill="auto"/>
              <w:ind w:left="88" w:right="148"/>
              <w:jc w:val="both"/>
              <w:rPr>
                <w:i/>
                <w:sz w:val="24"/>
                <w:szCs w:val="24"/>
              </w:rPr>
            </w:pPr>
            <w:r w:rsidRPr="00854AC5">
              <w:rPr>
                <w:i/>
                <w:sz w:val="24"/>
                <w:szCs w:val="24"/>
              </w:rPr>
              <w:t xml:space="preserve">для </w:t>
            </w:r>
            <w:r w:rsidRPr="00854AC5">
              <w:rPr>
                <w:bCs/>
                <w:i/>
                <w:sz w:val="24"/>
                <w:szCs w:val="24"/>
              </w:rPr>
              <w:t>розміщення</w:t>
            </w:r>
            <w:r w:rsidR="00013D8D">
              <w:rPr>
                <w:bCs/>
                <w:i/>
                <w:sz w:val="24"/>
                <w:szCs w:val="24"/>
              </w:rPr>
              <w:t>,</w:t>
            </w:r>
            <w:r w:rsidRPr="00854AC5">
              <w:rPr>
                <w:bCs/>
                <w:i/>
                <w:sz w:val="24"/>
                <w:szCs w:val="24"/>
              </w:rPr>
              <w:t xml:space="preserve"> </w:t>
            </w:r>
            <w:r w:rsidR="00013D8D" w:rsidRPr="00013D8D">
              <w:rPr>
                <w:bCs/>
                <w:i/>
                <w:sz w:val="24"/>
                <w:szCs w:val="24"/>
              </w:rPr>
              <w:t>обслуговування</w:t>
            </w:r>
            <w:r w:rsidR="00013D8D">
              <w:rPr>
                <w:b/>
                <w:bCs/>
                <w:sz w:val="28"/>
                <w:szCs w:val="28"/>
              </w:rPr>
              <w:t xml:space="preserve"> </w:t>
            </w:r>
            <w:r w:rsidRPr="00854AC5">
              <w:rPr>
                <w:bCs/>
                <w:i/>
                <w:sz w:val="24"/>
                <w:szCs w:val="24"/>
              </w:rPr>
              <w:t>об’єктів транспортної інфраструктури</w:t>
            </w:r>
            <w:r w:rsidR="001A1EF6">
              <w:rPr>
                <w:bCs/>
                <w:i/>
                <w:sz w:val="24"/>
                <w:szCs w:val="24"/>
              </w:rPr>
              <w:t xml:space="preserve"> (заїзди, 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26D11">
        <w:rPr>
          <w:i w:val="0"/>
          <w:sz w:val="24"/>
          <w:szCs w:val="24"/>
        </w:rPr>
        <w:t>проєкт</w:t>
      </w:r>
      <w:proofErr w:type="spellEnd"/>
      <w:r w:rsidRPr="00726D11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60C40088" w14:textId="36885F13" w:rsidR="00823CCF" w:rsidRPr="007E3E99" w:rsidRDefault="007E3E99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E3E99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розроблення </w:t>
      </w:r>
      <w:proofErr w:type="spellStart"/>
      <w:r w:rsidRPr="007E3E99">
        <w:rPr>
          <w:i w:val="0"/>
          <w:sz w:val="24"/>
          <w:szCs w:val="24"/>
        </w:rPr>
        <w:t>проєкту</w:t>
      </w:r>
      <w:proofErr w:type="spellEnd"/>
      <w:r w:rsidRPr="007E3E99">
        <w:rPr>
          <w:i w:val="0"/>
          <w:sz w:val="24"/>
          <w:szCs w:val="24"/>
        </w:rPr>
        <w:t xml:space="preserve"> землеустрою щодо відведення земельн</w:t>
      </w:r>
      <w:r>
        <w:rPr>
          <w:i w:val="0"/>
          <w:sz w:val="24"/>
          <w:szCs w:val="24"/>
        </w:rPr>
        <w:t>ої</w:t>
      </w:r>
      <w:r w:rsidRPr="007E3E99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и</w:t>
      </w:r>
      <w:r w:rsidRPr="007E3E99">
        <w:rPr>
          <w:i w:val="0"/>
          <w:sz w:val="24"/>
          <w:szCs w:val="24"/>
        </w:rPr>
        <w:t>.</w:t>
      </w:r>
    </w:p>
    <w:p w14:paraId="5CC44FE1" w14:textId="1EFD9FCB" w:rsidR="007E3E99" w:rsidRDefault="007E3E99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2E8007F" w14:textId="13BAD26A" w:rsidR="007E3E99" w:rsidRDefault="007E3E99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126DC78" w14:textId="0201BA0F" w:rsidR="007E3E99" w:rsidRDefault="007E3E99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174B95DD" w14:textId="405D2226" w:rsidR="007E3E99" w:rsidRDefault="007E3E99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09C8E148" w14:textId="77777777" w:rsidR="00622A5B" w:rsidRDefault="005F7ACC" w:rsidP="00EE63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E6382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розташовані малі архітектурні форми</w:t>
            </w:r>
            <w:r w:rsidR="00EE6382" w:rsidRPr="00EE6382">
              <w:rPr>
                <w:rFonts w:ascii="Times New Roman" w:eastAsia="Times New Roman" w:hAnsi="Times New Roman" w:cs="Times New Roman"/>
                <w:i/>
              </w:rPr>
              <w:t>,</w:t>
            </w:r>
            <w:r w:rsidR="00EE6382" w:rsidRPr="00EE6382">
              <w:rPr>
                <w:rFonts w:ascii="Times New Roman" w:hAnsi="Times New Roman" w:cs="Times New Roman"/>
                <w:i/>
              </w:rPr>
              <w:t xml:space="preserve"> інформація щодо права власності на які </w:t>
            </w:r>
            <w:r w:rsidR="00EE6382" w:rsidRPr="00EE6382">
              <w:rPr>
                <w:rFonts w:ascii="Times New Roman" w:hAnsi="Times New Roman" w:cs="Times New Roman"/>
                <w:i/>
                <w:color w:val="000000" w:themeColor="text1"/>
              </w:rPr>
              <w:t>в Державному реєстрі речових прав на нерухоме майно відсутня.</w:t>
            </w:r>
          </w:p>
          <w:p w14:paraId="2FCE8E57" w14:textId="5982CB94" w:rsidR="00E51C6F" w:rsidRPr="00EE6382" w:rsidRDefault="00E51C6F" w:rsidP="00EE638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1055C217" w14:textId="77777777" w:rsidTr="007E3E99">
        <w:trPr>
          <w:cantSplit/>
          <w:trHeight w:val="306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3F6E5767" w14:textId="77777777" w:rsidR="00622A5B" w:rsidRDefault="00622A5B" w:rsidP="00F43E5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601C7982" w:rsidR="00E51C6F" w:rsidRPr="00F336A8" w:rsidRDefault="00E51C6F" w:rsidP="00F43E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7943A8BD" w14:textId="77777777" w:rsidR="00622A5B" w:rsidRDefault="00622A5B" w:rsidP="00EE10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F43E59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026BAD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F43E59">
              <w:rPr>
                <w:rFonts w:ascii="Times New Roman" w:eastAsia="Times New Roman" w:hAnsi="Times New Roman" w:cs="Times New Roman"/>
                <w:i/>
              </w:rPr>
              <w:t>вулиць та доріг</w:t>
            </w:r>
            <w:r w:rsidR="00EE10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1056" w:rsidRPr="00EE1056">
              <w:rPr>
                <w:rFonts w:ascii="Times New Roman" w:hAnsi="Times New Roman" w:cs="Times New Roman"/>
                <w:i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EE1056">
              <w:rPr>
                <w:rFonts w:ascii="Times New Roman" w:hAnsi="Times New Roman" w:cs="Times New Roman"/>
                <w:i/>
              </w:rPr>
              <w:t>14</w:t>
            </w:r>
            <w:r w:rsidR="00EE1056" w:rsidRPr="00EE1056">
              <w:rPr>
                <w:rFonts w:ascii="Times New Roman" w:hAnsi="Times New Roman" w:cs="Times New Roman"/>
                <w:i/>
              </w:rPr>
              <w:t>.0</w:t>
            </w:r>
            <w:r w:rsidR="00EE1056">
              <w:rPr>
                <w:rFonts w:ascii="Times New Roman" w:hAnsi="Times New Roman" w:cs="Times New Roman"/>
                <w:i/>
              </w:rPr>
              <w:t>8</w:t>
            </w:r>
            <w:r w:rsidR="00EE1056" w:rsidRPr="00EE1056">
              <w:rPr>
                <w:rFonts w:ascii="Times New Roman" w:hAnsi="Times New Roman" w:cs="Times New Roman"/>
                <w:i/>
              </w:rPr>
              <w:t>.2023            № 055-</w:t>
            </w:r>
            <w:r w:rsidR="00EE1056">
              <w:rPr>
                <w:rFonts w:ascii="Times New Roman" w:hAnsi="Times New Roman" w:cs="Times New Roman"/>
                <w:i/>
              </w:rPr>
              <w:t>6097</w:t>
            </w:r>
            <w:r w:rsidR="00EE1056" w:rsidRPr="00EE1056">
              <w:rPr>
                <w:rFonts w:ascii="Times New Roman" w:hAnsi="Times New Roman" w:cs="Times New Roman"/>
                <w:i/>
              </w:rPr>
              <w:t>)</w:t>
            </w:r>
            <w:r w:rsidR="00F43E59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63FE9C0" w14:textId="1A5CE82C" w:rsidR="00E51C6F" w:rsidRPr="00F336A8" w:rsidRDefault="00E51C6F" w:rsidP="00EE105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2ED933A4" w14:textId="77777777" w:rsidR="00622A5B" w:rsidRDefault="0045666D" w:rsidP="00E51C6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CB6AE9">
              <w:rPr>
                <w:rFonts w:ascii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10.07.2023, номер відомостей про речове право 50971284 (інформація з Державного реєстру речових прав на нерухоме майно від 29.08.2023                                № 344475970).</w:t>
            </w:r>
          </w:p>
          <w:p w14:paraId="599965EB" w14:textId="2F46167B" w:rsidR="00E51C6F" w:rsidRPr="0070402C" w:rsidRDefault="00E51C6F" w:rsidP="00E51C6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63FC1342" w14:textId="77777777" w:rsidR="00AD604C" w:rsidRDefault="0045666D" w:rsidP="009F3AE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7C2CF691" w:rsidR="00E51C6F" w:rsidRPr="00AD604C" w:rsidRDefault="00E51C6F" w:rsidP="009F3AE6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7E3E99" w:rsidRPr="0070402C" w14:paraId="68CDEA8B" w14:textId="77777777" w:rsidTr="0057685E">
        <w:trPr>
          <w:cantSplit/>
          <w:trHeight w:val="282"/>
        </w:trPr>
        <w:tc>
          <w:tcPr>
            <w:tcW w:w="3285" w:type="dxa"/>
          </w:tcPr>
          <w:p w14:paraId="183DE316" w14:textId="53003F3C" w:rsidR="007E3E99" w:rsidRDefault="007E3E99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998EFA9" w14:textId="77777777" w:rsidR="007E3E99" w:rsidRDefault="007E3E99" w:rsidP="007E3E9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в межах червоних ліній.</w:t>
            </w:r>
          </w:p>
          <w:p w14:paraId="2B2F17EA" w14:textId="0727BB99" w:rsidR="007E3E99" w:rsidRDefault="007E3E99" w:rsidP="007E3E99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A11F20">
              <w:rPr>
                <w:b w:val="0"/>
                <w:i/>
                <w:sz w:val="24"/>
                <w:szCs w:val="24"/>
              </w:rPr>
              <w:t>Рішенням Київської міської ради від 18.05.2023 № 637</w:t>
            </w:r>
            <w:r>
              <w:rPr>
                <w:b w:val="0"/>
                <w:i/>
                <w:sz w:val="24"/>
                <w:szCs w:val="24"/>
              </w:rPr>
              <w:t>1</w:t>
            </w:r>
            <w:r w:rsidRPr="00A11F20">
              <w:rPr>
                <w:b w:val="0"/>
                <w:i/>
                <w:sz w:val="24"/>
                <w:szCs w:val="24"/>
              </w:rPr>
              <w:t>/641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Pr="00A11F20">
              <w:rPr>
                <w:b w:val="0"/>
                <w:i/>
                <w:sz w:val="24"/>
                <w:szCs w:val="24"/>
              </w:rPr>
              <w:t xml:space="preserve"> затверджено 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90:159,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обмеженого 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в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Декабристів, вул. Вербицького Архітектора, шосе Харківським, вул. Вірменською,             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. Бажана Миколи у Дарницькому 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районі м. Києва, в тому числі, земельну ділянку </w:t>
            </w:r>
            <w:r w:rsidR="00E51C6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з 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>кадастрови</w:t>
            </w:r>
            <w:r w:rsidR="00E51C6F">
              <w:rPr>
                <w:b w:val="0"/>
                <w:i/>
                <w:color w:val="000000" w:themeColor="text1"/>
                <w:sz w:val="24"/>
                <w:szCs w:val="24"/>
              </w:rPr>
              <w:t>м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номер</w:t>
            </w:r>
            <w:r w:rsidR="00E51C6F">
              <w:rPr>
                <w:b w:val="0"/>
                <w:i/>
                <w:color w:val="000000" w:themeColor="text1"/>
                <w:sz w:val="24"/>
                <w:szCs w:val="24"/>
              </w:rPr>
              <w:t>ом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8000000000: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90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159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>:0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123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1F2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- 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12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>11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1F20">
              <w:rPr>
                <w:rStyle w:val="ae"/>
                <w:b w:val="0"/>
                <w:sz w:val="24"/>
                <w:szCs w:val="24"/>
              </w:rPr>
              <w:t xml:space="preserve">для </w:t>
            </w:r>
            <w:r>
              <w:rPr>
                <w:rStyle w:val="ae"/>
                <w:b w:val="0"/>
                <w:sz w:val="24"/>
                <w:szCs w:val="24"/>
              </w:rPr>
              <w:t>розміщення та експлуатації об</w:t>
            </w:r>
            <w:r w:rsidRPr="00A877C0">
              <w:rPr>
                <w:rStyle w:val="ae"/>
                <w:b w:val="0"/>
                <w:sz w:val="24"/>
                <w:szCs w:val="24"/>
              </w:rPr>
              <w:t>’</w:t>
            </w:r>
            <w:r>
              <w:rPr>
                <w:rStyle w:val="ae"/>
                <w:b w:val="0"/>
                <w:sz w:val="24"/>
                <w:szCs w:val="24"/>
              </w:rPr>
              <w:t xml:space="preserve">єктів дорожнього сервісу, категорія земель – землі </w:t>
            </w:r>
            <w:r w:rsidRPr="00AD718A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промисловості, транспорту, електронних комунікацій, енергетики, оборони та іншого призначення</w:t>
            </w:r>
            <w:r w:rsidRPr="00A11F20">
              <w:rPr>
                <w:b w:val="0"/>
                <w:i/>
                <w:color w:val="000000" w:themeColor="text1"/>
                <w:sz w:val="24"/>
                <w:szCs w:val="24"/>
              </w:rPr>
              <w:t>).</w:t>
            </w:r>
          </w:p>
          <w:p w14:paraId="6896BD6E" w14:textId="77777777" w:rsidR="007E3E99" w:rsidRPr="00F2692C" w:rsidRDefault="007E3E99" w:rsidP="007E3E99">
            <w:pPr>
              <w:pStyle w:val="af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землеустрою щодо відведення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(зміни цільового призначення) </w:t>
            </w: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193D896D" w14:textId="77777777" w:rsidR="007E3E99" w:rsidRPr="00AD604C" w:rsidRDefault="007E3E99" w:rsidP="009F3AE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232940E8" w14:textId="77777777" w:rsidR="00AD718A" w:rsidRPr="00F2692C" w:rsidRDefault="00AD718A" w:rsidP="00AD718A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F2692C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4FDC9525" w14:textId="00ABB6F0" w:rsidR="004F35D0" w:rsidRPr="0070402C" w:rsidRDefault="00AD718A" w:rsidP="00AD71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692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F2692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F2692C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03AB7DBE" w:rsidR="00823CCF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71532883" w:rsid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3F1E8706" w14:textId="031F339C" w:rsidR="0053038D" w:rsidRDefault="0053038D" w:rsidP="00535FA2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AD718A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proofErr w:type="spellStart"/>
      <w:r w:rsidRPr="00D43C78">
        <w:rPr>
          <w:i w:val="0"/>
          <w:color w:val="auto"/>
          <w:sz w:val="24"/>
          <w:szCs w:val="24"/>
        </w:rPr>
        <w:t>Проєкт</w:t>
      </w:r>
      <w:proofErr w:type="spellEnd"/>
      <w:r w:rsidRPr="00D43C78">
        <w:rPr>
          <w:i w:val="0"/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512B217" w14:textId="77777777" w:rsidR="00E5771C" w:rsidRPr="004D6C38" w:rsidRDefault="00E5771C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0EA8DF5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>у</w:t>
      </w:r>
      <w:proofErr w:type="spellEnd"/>
      <w:r w:rsidR="006B1368">
        <w:rPr>
          <w:i w:val="0"/>
          <w:sz w:val="24"/>
          <w:szCs w:val="24"/>
        </w:rPr>
        <w:t xml:space="preserve">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447AB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1"/>
      <w:footerReference w:type="default" r:id="rId12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E022" w14:textId="77777777" w:rsidR="00875524" w:rsidRDefault="00875524">
      <w:r>
        <w:separator/>
      </w:r>
    </w:p>
  </w:endnote>
  <w:endnote w:type="continuationSeparator" w:id="0">
    <w:p w14:paraId="28FEB470" w14:textId="77777777" w:rsidR="00875524" w:rsidRDefault="0087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4402" w14:textId="77777777" w:rsidR="00875524" w:rsidRDefault="00875524"/>
  </w:footnote>
  <w:footnote w:type="continuationSeparator" w:id="0">
    <w:p w14:paraId="3F33822C" w14:textId="77777777" w:rsidR="00875524" w:rsidRDefault="008755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447AB3">
          <w:rPr>
            <w:i w:val="0"/>
            <w:sz w:val="12"/>
            <w:szCs w:val="12"/>
            <w:lang w:val="ru-RU"/>
          </w:rPr>
          <w:t>ПЗН-57421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447AB3">
          <w:rPr>
            <w:i w:val="0"/>
            <w:sz w:val="12"/>
            <w:szCs w:val="12"/>
            <w:lang w:val="ru-RU"/>
          </w:rPr>
          <w:t>29.08.2023</w:t>
        </w:r>
        <w:r w:rsidR="0070323B" w:rsidRPr="00447AB3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675200138</w:t>
        </w:r>
      </w:p>
      <w:p w14:paraId="3796BF5B" w14:textId="31590188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07AA4" w:rsidRPr="00807A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13D8D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3E6B"/>
    <w:rsid w:val="000C5E99"/>
    <w:rsid w:val="000C7B1F"/>
    <w:rsid w:val="000F62A9"/>
    <w:rsid w:val="00100101"/>
    <w:rsid w:val="001102AB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A1EF6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55659"/>
    <w:rsid w:val="0027157C"/>
    <w:rsid w:val="00283C07"/>
    <w:rsid w:val="002A2332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0518D"/>
    <w:rsid w:val="004258F0"/>
    <w:rsid w:val="00441B38"/>
    <w:rsid w:val="00447AB3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B3E37"/>
    <w:rsid w:val="005F7ACC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97061"/>
    <w:rsid w:val="007B5D0A"/>
    <w:rsid w:val="007B72F8"/>
    <w:rsid w:val="007B7701"/>
    <w:rsid w:val="007C296C"/>
    <w:rsid w:val="007E3E99"/>
    <w:rsid w:val="00800A09"/>
    <w:rsid w:val="00807AA4"/>
    <w:rsid w:val="00810671"/>
    <w:rsid w:val="00811F23"/>
    <w:rsid w:val="008146F4"/>
    <w:rsid w:val="00823CCF"/>
    <w:rsid w:val="008524A0"/>
    <w:rsid w:val="00854AC5"/>
    <w:rsid w:val="00864724"/>
    <w:rsid w:val="00875524"/>
    <w:rsid w:val="008A319F"/>
    <w:rsid w:val="008A338E"/>
    <w:rsid w:val="008A60AD"/>
    <w:rsid w:val="008B3AE5"/>
    <w:rsid w:val="008E0E9D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9F3AE6"/>
    <w:rsid w:val="00A276F2"/>
    <w:rsid w:val="00A30924"/>
    <w:rsid w:val="00A3157B"/>
    <w:rsid w:val="00A660AC"/>
    <w:rsid w:val="00A877C0"/>
    <w:rsid w:val="00AC22F0"/>
    <w:rsid w:val="00AC2FA2"/>
    <w:rsid w:val="00AD604C"/>
    <w:rsid w:val="00AD6678"/>
    <w:rsid w:val="00AD718A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394"/>
    <w:rsid w:val="00C956B5"/>
    <w:rsid w:val="00CA3F0E"/>
    <w:rsid w:val="00CB1336"/>
    <w:rsid w:val="00CB6AE9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51C6F"/>
    <w:rsid w:val="00E5771C"/>
    <w:rsid w:val="00E751C2"/>
    <w:rsid w:val="00E75905"/>
    <w:rsid w:val="00E90218"/>
    <w:rsid w:val="00E94376"/>
    <w:rsid w:val="00E95507"/>
    <w:rsid w:val="00EA0415"/>
    <w:rsid w:val="00ED3563"/>
    <w:rsid w:val="00EE1056"/>
    <w:rsid w:val="00EE567C"/>
    <w:rsid w:val="00EE6382"/>
    <w:rsid w:val="00EF1366"/>
    <w:rsid w:val="00F02475"/>
    <w:rsid w:val="00F054AB"/>
    <w:rsid w:val="00F05908"/>
    <w:rsid w:val="00F12519"/>
    <w:rsid w:val="00F174AB"/>
    <w:rsid w:val="00F243B6"/>
    <w:rsid w:val="00F2637F"/>
    <w:rsid w:val="00F43E59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40518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AD71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ru/search/?q=440573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5837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2023-10-06T09:12:00Z</cp:lastPrinted>
  <dcterms:created xsi:type="dcterms:W3CDTF">2023-10-06T12:51:00Z</dcterms:created>
  <dcterms:modified xsi:type="dcterms:W3CDTF">2023-10-06T12:51:00Z</dcterms:modified>
</cp:coreProperties>
</file>