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7E0C3" w14:textId="266F5157" w:rsidR="00A10D7A" w:rsidRPr="00553589" w:rsidRDefault="00FD47AE" w:rsidP="005535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Аналіз регуляторного впливу</w:t>
      </w:r>
      <w:r w:rsidRPr="00E002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  <w:r w:rsidR="009349EA" w:rsidRPr="00E002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="00D11988" w:rsidRPr="00E002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D11988" w:rsidRPr="00E002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Київської міської ради «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 xml:space="preserve">Про </w:t>
      </w:r>
      <w:r w:rsidR="008E0CC6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внесення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 xml:space="preserve"> 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змін 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до Положення про фінансово-кредитну підтримку суб'єктів малого та середнього підприємництва у місті Києві, затвердженого рішенням Київської міської ради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від 21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"/>
        </w:rPr>
        <w:t>вересня 2017 року № 46/3053»</w:t>
      </w:r>
    </w:p>
    <w:p w14:paraId="069FB98B" w14:textId="77777777" w:rsidR="00664588" w:rsidRPr="00E00286" w:rsidRDefault="00664588" w:rsidP="00981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4FD3E6D" w14:textId="77777777" w:rsidR="00FD47AE" w:rsidRPr="00E00286" w:rsidRDefault="00FD47AE" w:rsidP="001E3D1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 Визначення проблеми.</w:t>
      </w:r>
    </w:p>
    <w:p w14:paraId="360DC62B" w14:textId="77777777" w:rsidR="001E3D1B" w:rsidRPr="00E00286" w:rsidRDefault="001E3D1B" w:rsidP="00410D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01C55F" w14:textId="56F895E2" w:rsidR="00AE5830" w:rsidRPr="00E00286" w:rsidRDefault="00562697" w:rsidP="00410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столиці з 2014 року </w:t>
      </w:r>
      <w:r w:rsidR="0045049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щорічно зростає кількість киян – учасників бойових дій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Так, станом на 24.02.2022 в місті Києві кількість киян, які брали безпосередню участь в антитерористичній операції та у здійсненні заходів із забезпечення національної безпеки </w:t>
      </w:r>
      <w:r w:rsidR="0045049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оборони, відсічі і стримуванні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збройної агресії Російської Федерації у Донецькій та Луганській областях, становила 31137 осіб (з них 1534 особи з інвалідністю внаслідок війни, тобто 5 %). З початком повномасштабного вторгнення Російської Федерації в Україну </w:t>
      </w:r>
      <w:r w:rsidR="00DD005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цей показник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суттєво збільшується, та станом на кінець року, за попередніми розрахунками, становитиме орієнтовно 100 тис. осіб.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членів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військов</w:t>
      </w:r>
      <w:r w:rsidR="00DD005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ослужбовців відповідно теж збільшилась в 3-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 рази. В подальшому передбачається збільшення зазначе</w:t>
      </w:r>
      <w:r w:rsidR="00DD005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ної категорії громадян ще у 1,5-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 рази.</w:t>
      </w:r>
    </w:p>
    <w:p w14:paraId="49DB4661" w14:textId="539BBE46" w:rsidR="00562697" w:rsidRPr="00E00286" w:rsidRDefault="00562697" w:rsidP="00410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Нагальною є й проблема безробіття серед киян </w:t>
      </w:r>
      <w:r w:rsidR="00DD005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учасників бойових дій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які звільнилися з військової служби: статистично, майже половина з них стикались із цією проблемою. Широке розповсюдження безробіття серед </w:t>
      </w:r>
      <w:r w:rsidR="00DD005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киян </w:t>
      </w:r>
      <w:r w:rsidR="00DD005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учасників бойових дій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певною мірою можна пояснити недостатньою кількістю створених можливостей для набуття нових та розвитку існуючих навичок цивільної роботи в певному віці. Вірогідним шляхом вирішення цієї проблеми є розробка </w:t>
      </w:r>
      <w:r w:rsidR="00DD0059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спеціальних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 із працевлаштування, стажування, перекваліфікації, надання </w:t>
      </w:r>
      <w:r w:rsidR="00B04DED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фінансово-кредитної підтримки для відкриття </w:t>
      </w:r>
      <w:r w:rsidR="000F5B7A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або розвитку </w:t>
      </w:r>
      <w:r w:rsidR="00B04DED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власного бізнесу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тощо.</w:t>
      </w:r>
    </w:p>
    <w:p w14:paraId="0E974A9C" w14:textId="62CDC1DA" w:rsidR="00981632" w:rsidRPr="00E00286" w:rsidRDefault="00562697" w:rsidP="00A10D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Враховуючи </w:t>
      </w:r>
      <w:r w:rsidR="00186D05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зазначене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вище</w:t>
      </w:r>
      <w:r w:rsidR="00E41B84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41B84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передбачається видати </w:t>
      </w:r>
      <w:r w:rsidR="00D11988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Київської міської ради «</w:t>
      </w:r>
      <w:r w:rsidR="00D11988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 </w:t>
      </w:r>
      <w:r w:rsidR="008E0CC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внесення</w:t>
      </w:r>
      <w:r w:rsidR="00D11988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змін 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до Положення про фінансово-кредитну підтримку суб'єктів малого та середнього підприємництва у місті Києві, затвердженого рішенням Київської міської ради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від 21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 </w:t>
      </w:r>
      <w:r w:rsidR="00553589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вересня 2017 року № 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" w:eastAsia="uk-UA"/>
        </w:rPr>
        <w:t>46/3053</w:t>
      </w:r>
      <w:r w:rsidR="00D11988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981632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– </w:t>
      </w:r>
      <w:proofErr w:type="spellStart"/>
      <w:r w:rsidR="00981632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="00981632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</w:t>
      </w:r>
      <w:r w:rsidR="009349EA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975EC3" w:rsidRPr="00E002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8408760" w14:textId="77777777" w:rsidR="000C67D4" w:rsidRPr="00E00286" w:rsidRDefault="000C67D4" w:rsidP="00410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13D564" w14:textId="73037BE6" w:rsidR="00FD47AE" w:rsidRPr="00E00286" w:rsidRDefault="00FD47AE" w:rsidP="00410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="00D9650A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групи (підгрупи), на які</w:t>
      </w:r>
      <w:r w:rsidR="00D9650A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справляється</w:t>
      </w:r>
      <w:r w:rsidR="00D9650A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711D3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вплив при підготовці </w:t>
      </w:r>
      <w:proofErr w:type="spellStart"/>
      <w:r w:rsidR="000711D3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Проє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0D7A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61EE18F8" w14:textId="0A92B9CA" w:rsidR="00664588" w:rsidRDefault="00664588" w:rsidP="005C79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EE3BF2" w14:textId="77777777" w:rsidR="00553589" w:rsidRPr="00E00286" w:rsidRDefault="00553589" w:rsidP="005C79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W w:w="86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8"/>
        <w:gridCol w:w="845"/>
        <w:gridCol w:w="817"/>
      </w:tblGrid>
      <w:tr w:rsidR="00DF3CC4" w:rsidRPr="00E00286" w14:paraId="7113E82B" w14:textId="77777777" w:rsidTr="00626713">
        <w:trPr>
          <w:trHeight w:val="318"/>
          <w:tblCellSpacing w:w="0" w:type="dxa"/>
          <w:jc w:val="center"/>
        </w:trPr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0DDEB" w14:textId="77777777" w:rsidR="00FD47AE" w:rsidRPr="00E00286" w:rsidRDefault="00FD47AE" w:rsidP="0062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E26E3" w14:textId="77777777" w:rsidR="00FD47AE" w:rsidRPr="00E00286" w:rsidRDefault="00FD47AE" w:rsidP="0062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693E1" w14:textId="77777777" w:rsidR="00FD47AE" w:rsidRPr="00E00286" w:rsidRDefault="00FD47AE" w:rsidP="0062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DF3CC4" w:rsidRPr="00E00286" w14:paraId="04297CBE" w14:textId="77777777" w:rsidTr="00626713">
        <w:trPr>
          <w:tblCellSpacing w:w="0" w:type="dxa"/>
          <w:jc w:val="center"/>
        </w:trPr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E9F3A" w14:textId="77777777" w:rsidR="00FD47AE" w:rsidRPr="00E00286" w:rsidRDefault="00FD47AE" w:rsidP="0062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F333C" w14:textId="77777777" w:rsidR="00FD47AE" w:rsidRPr="00E00286" w:rsidRDefault="00FD47AE" w:rsidP="002C39C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D635C" w14:textId="77777777" w:rsidR="00FD47AE" w:rsidRPr="00E00286" w:rsidRDefault="00FD47AE" w:rsidP="002C39C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3CC4" w:rsidRPr="00E00286" w14:paraId="41B0BD04" w14:textId="77777777" w:rsidTr="00626713">
        <w:trPr>
          <w:tblCellSpacing w:w="0" w:type="dxa"/>
          <w:jc w:val="center"/>
        </w:trPr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340F7" w14:textId="77777777" w:rsidR="00FD47AE" w:rsidRPr="00E00286" w:rsidRDefault="00FD47AE" w:rsidP="0062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02990" w14:textId="77777777" w:rsidR="00FD47AE" w:rsidRPr="00E00286" w:rsidRDefault="00FD47AE" w:rsidP="00E715B2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72705" w14:textId="77777777" w:rsidR="00FD47AE" w:rsidRPr="00E00286" w:rsidRDefault="00FD47AE" w:rsidP="0062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DF3CC4" w:rsidRPr="00E00286" w14:paraId="448849AD" w14:textId="77777777" w:rsidTr="00626713">
        <w:trPr>
          <w:tblCellSpacing w:w="0" w:type="dxa"/>
          <w:jc w:val="center"/>
        </w:trPr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500DAF" w14:textId="77777777" w:rsidR="00FD47AE" w:rsidRPr="00E00286" w:rsidRDefault="00FD47AE" w:rsidP="0062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Суб’єкти</w:t>
            </w:r>
            <w:r w:rsidR="00A150B9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господарювання,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9B422" w14:textId="77777777" w:rsidR="00FD47AE" w:rsidRPr="00E00286" w:rsidRDefault="00FD47AE" w:rsidP="00E715B2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07A15" w14:textId="77777777" w:rsidR="00FD47AE" w:rsidRPr="00E00286" w:rsidRDefault="00FD47AE" w:rsidP="0062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DF3CC4" w:rsidRPr="00E00286" w14:paraId="660E9B4A" w14:textId="77777777" w:rsidTr="00626713">
        <w:trPr>
          <w:tblCellSpacing w:w="0" w:type="dxa"/>
          <w:jc w:val="center"/>
        </w:trPr>
        <w:tc>
          <w:tcPr>
            <w:tcW w:w="7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F47B7" w14:textId="77777777" w:rsidR="00FD47AE" w:rsidRPr="00E00286" w:rsidRDefault="00FD47AE" w:rsidP="0062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  <w:r w:rsidR="00A150B9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суб’єкти малого підприємництва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F1777" w14:textId="77777777" w:rsidR="00FD47AE" w:rsidRPr="00E00286" w:rsidRDefault="00FD47AE" w:rsidP="00E715B2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3FDDC" w14:textId="77777777" w:rsidR="00FD47AE" w:rsidRPr="00E00286" w:rsidRDefault="00FD47AE" w:rsidP="00626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</w:tbl>
    <w:p w14:paraId="596852D4" w14:textId="1EC7515B" w:rsidR="00626713" w:rsidRPr="00E00286" w:rsidRDefault="004659E8" w:rsidP="00975E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</w:p>
    <w:p w14:paraId="5F3ADDE2" w14:textId="77777777" w:rsidR="00A92419" w:rsidRPr="00E00286" w:rsidRDefault="00A92419" w:rsidP="0034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17DE5EC" w14:textId="77777777" w:rsidR="00FD47AE" w:rsidRPr="00E00286" w:rsidRDefault="00FD47AE" w:rsidP="0062671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ІІ. Цілі державного регулювання</w:t>
      </w:r>
    </w:p>
    <w:p w14:paraId="55EA4AE7" w14:textId="77777777" w:rsidR="00664588" w:rsidRPr="00E00286" w:rsidRDefault="00664588" w:rsidP="0062671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1F0889" w14:textId="77777777" w:rsidR="00A10D7A" w:rsidRPr="00E00286" w:rsidRDefault="003D0C3C" w:rsidP="00BE15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Затвердження прозорого та ефективного механізму 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надання фінансової допомоги у місті Києві  на відкриття або розвиток власного бізнесу  Захисникам та Захисницям України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 членам їх сімей</w:t>
      </w:r>
      <w:r w:rsidR="00A10D7A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10D7A"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(при отриманні кредиту).</w:t>
      </w:r>
    </w:p>
    <w:p w14:paraId="4CD1084D" w14:textId="27F14634" w:rsidR="00975EC3" w:rsidRPr="00E00286" w:rsidRDefault="00975EC3" w:rsidP="00BE15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Підвищення рівні зайнятості населення та створення нових робочих місць.</w:t>
      </w:r>
    </w:p>
    <w:p w14:paraId="20C18267" w14:textId="78A3FB7B" w:rsidR="00975EC3" w:rsidRPr="00E00286" w:rsidRDefault="00975EC3" w:rsidP="00BE15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Зменшення соціальної напруженості серед</w:t>
      </w:r>
      <w:r w:rsidRPr="00E00286">
        <w:t xml:space="preserve"> </w:t>
      </w: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учасників бойових дій.</w:t>
      </w:r>
    </w:p>
    <w:p w14:paraId="6D81292A" w14:textId="77777777" w:rsidR="000E3242" w:rsidRPr="00E00286" w:rsidRDefault="000E3242" w:rsidP="006267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1528E5" w14:textId="77777777" w:rsidR="00FD47AE" w:rsidRPr="00E00286" w:rsidRDefault="00FD47AE" w:rsidP="004E741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ІІІ. Визначення та оцінка</w:t>
      </w:r>
      <w:r w:rsidR="0070375F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альтернативних</w:t>
      </w:r>
      <w:r w:rsidR="0070375F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способів</w:t>
      </w:r>
      <w:r w:rsidR="0070375F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досягнення</w:t>
      </w:r>
      <w:r w:rsidR="0070375F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зазначених</w:t>
      </w:r>
      <w:r w:rsidR="0070375F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цілей</w:t>
      </w:r>
    </w:p>
    <w:p w14:paraId="49784141" w14:textId="77777777" w:rsidR="001E3D1B" w:rsidRPr="00E00286" w:rsidRDefault="001E3D1B" w:rsidP="004E741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CE9DC0" w14:textId="77777777" w:rsidR="00FD47AE" w:rsidRPr="00E00286" w:rsidRDefault="004E741C" w:rsidP="004E74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FD47AE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47AE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альтернативних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47AE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способів:</w:t>
      </w:r>
    </w:p>
    <w:tbl>
      <w:tblPr>
        <w:tblW w:w="91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6028"/>
      </w:tblGrid>
      <w:tr w:rsidR="00DF3CC4" w:rsidRPr="00E00286" w14:paraId="3A04012C" w14:textId="77777777" w:rsidTr="00A92419">
        <w:trPr>
          <w:tblCellSpacing w:w="0" w:type="dxa"/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6B04E" w14:textId="77777777" w:rsidR="00FD47AE" w:rsidRPr="00E00286" w:rsidRDefault="00FD47AE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68D35" w14:textId="77777777" w:rsidR="00FD47AE" w:rsidRPr="00E00286" w:rsidRDefault="00FD47AE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Опис</w:t>
            </w:r>
            <w:r w:rsidR="00B72CA0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альтернативи</w:t>
            </w:r>
          </w:p>
        </w:tc>
      </w:tr>
      <w:tr w:rsidR="00DF3CC4" w:rsidRPr="00E00286" w14:paraId="1A9BD82A" w14:textId="77777777" w:rsidTr="00A92419">
        <w:trPr>
          <w:tblCellSpacing w:w="0" w:type="dxa"/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DC36F" w14:textId="77777777" w:rsidR="00FD47AE" w:rsidRPr="00E00286" w:rsidRDefault="00FD47AE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F59FC" w14:textId="19FD9652" w:rsidR="00FD47AE" w:rsidRPr="00E00286" w:rsidRDefault="00FD47AE" w:rsidP="001D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Залишити</w:t>
            </w:r>
            <w:r w:rsidR="008A0A61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існуючу</w:t>
            </w:r>
            <w:r w:rsidR="008A0A61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ситуацію без змін</w:t>
            </w:r>
          </w:p>
        </w:tc>
      </w:tr>
      <w:tr w:rsidR="00DF3CC4" w:rsidRPr="00E00286" w14:paraId="19D9A891" w14:textId="77777777" w:rsidTr="00A92419">
        <w:trPr>
          <w:tblCellSpacing w:w="0" w:type="dxa"/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07EE6" w14:textId="77777777" w:rsidR="00FD47AE" w:rsidRPr="00E00286" w:rsidRDefault="00FD47AE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Альтернатива </w:t>
            </w:r>
            <w:r w:rsidR="00621B14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12DDF" w14:textId="33A56B79" w:rsidR="00FD47AE" w:rsidRPr="00E00286" w:rsidRDefault="00DB4F5E" w:rsidP="001D1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Регулювання на державному рівні</w:t>
            </w:r>
          </w:p>
        </w:tc>
      </w:tr>
      <w:tr w:rsidR="00A92419" w:rsidRPr="00E00286" w14:paraId="21486F39" w14:textId="77777777" w:rsidTr="00A92419">
        <w:trPr>
          <w:tblCellSpacing w:w="0" w:type="dxa"/>
          <w:jc w:val="center"/>
        </w:trPr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2AE94" w14:textId="3509E1C5" w:rsidR="00A92419" w:rsidRPr="00E00286" w:rsidRDefault="00A92419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6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B06612" w14:textId="0E0AB2C1" w:rsidR="00A92419" w:rsidRPr="00E00286" w:rsidRDefault="00A92419" w:rsidP="003D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Прийняти запропонований </w:t>
            </w:r>
            <w:proofErr w:type="spellStart"/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рішення</w:t>
            </w:r>
          </w:p>
        </w:tc>
      </w:tr>
    </w:tbl>
    <w:p w14:paraId="4E24935F" w14:textId="77777777" w:rsidR="00FD0437" w:rsidRPr="00E00286" w:rsidRDefault="00FD0437" w:rsidP="00D162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369566" w14:textId="77777777" w:rsidR="00FD47AE" w:rsidRPr="00E00286" w:rsidRDefault="00FD47AE" w:rsidP="00D162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2.Оцінка вибраних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альтернативних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способів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цілей</w:t>
      </w:r>
    </w:p>
    <w:p w14:paraId="050E6DDC" w14:textId="77777777" w:rsidR="00FD0437" w:rsidRPr="00E00286" w:rsidRDefault="00FD0437" w:rsidP="00D162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993185" w14:textId="77777777" w:rsidR="00FD47AE" w:rsidRPr="00E00286" w:rsidRDefault="00FD47AE" w:rsidP="00D162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впливу на сферу інтересів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держави:</w:t>
      </w:r>
    </w:p>
    <w:tbl>
      <w:tblPr>
        <w:tblW w:w="91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486"/>
        <w:gridCol w:w="4657"/>
      </w:tblGrid>
      <w:tr w:rsidR="00A92419" w:rsidRPr="00E00286" w14:paraId="36662EFC" w14:textId="77777777" w:rsidTr="00A92419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D6F51" w14:textId="77777777" w:rsidR="00FD47AE" w:rsidRPr="00E00286" w:rsidRDefault="00FD47AE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45283" w14:textId="77777777" w:rsidR="00FD47AE" w:rsidRPr="00E00286" w:rsidRDefault="00FD47AE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E4E7E" w14:textId="77777777" w:rsidR="00FD47AE" w:rsidRPr="00E00286" w:rsidRDefault="00FD47AE" w:rsidP="00D1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Витрати</w:t>
            </w:r>
          </w:p>
        </w:tc>
      </w:tr>
      <w:tr w:rsidR="00A92419" w:rsidRPr="00553589" w14:paraId="7B28A384" w14:textId="77777777" w:rsidTr="00A92419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55304" w14:textId="77777777" w:rsidR="00FD47AE" w:rsidRPr="00E00286" w:rsidRDefault="00FD47AE" w:rsidP="0012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E6F48" w14:textId="77777777" w:rsidR="00FD47AE" w:rsidRPr="00E00286" w:rsidRDefault="00236A0B" w:rsidP="0012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F318F2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ідсутні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300B27" w14:textId="362694EF" w:rsidR="005C5C3C" w:rsidRPr="00E00286" w:rsidRDefault="00EA24D7" w:rsidP="002729E6">
            <w:pPr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Зменшуєть</w:t>
            </w:r>
            <w:r w:rsidR="00A10D7A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ся кількість отримувачів фінансової допомоги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що тягне за собою зменшення надходжен</w:t>
            </w:r>
            <w:r w:rsidR="002729E6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ь від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сплати податків, зборів та інших обов’язкових плат</w:t>
            </w:r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ежів до бюджетів різних рівнів</w:t>
            </w:r>
          </w:p>
        </w:tc>
      </w:tr>
      <w:tr w:rsidR="00A92419" w:rsidRPr="00553589" w14:paraId="3412E11A" w14:textId="77777777" w:rsidTr="00A92419">
        <w:trPr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602AD" w14:textId="77777777" w:rsidR="00FD47AE" w:rsidRPr="00E00286" w:rsidRDefault="00FD47AE" w:rsidP="0012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Альтернатива </w:t>
            </w:r>
            <w:r w:rsidR="00621B14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718D47" w14:textId="24C07263" w:rsidR="006A557B" w:rsidRPr="00E00286" w:rsidRDefault="00A92419" w:rsidP="0012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A78C1" w14:textId="7543F2E1" w:rsidR="0012534B" w:rsidRPr="00E00286" w:rsidRDefault="0012534B" w:rsidP="0012534B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Зменшується кількість отримувачів </w:t>
            </w:r>
            <w:r w:rsidR="00A10D7A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фінансової допомоги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що тягне за собою зменшення надходжен</w:t>
            </w:r>
            <w:r w:rsidR="002729E6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ь від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сплати податків, зборів та інших обов’язкових плат</w:t>
            </w:r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ежів до бюджетів різних рівнів</w:t>
            </w:r>
          </w:p>
          <w:p w14:paraId="107A04B2" w14:textId="72782A44" w:rsidR="0070375F" w:rsidRPr="00E00286" w:rsidRDefault="0070375F" w:rsidP="00A9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92419" w:rsidRPr="00E00286" w14:paraId="77B74BA3" w14:textId="77777777" w:rsidTr="00A92419">
        <w:trPr>
          <w:trHeight w:val="905"/>
          <w:tblCellSpacing w:w="0" w:type="dxa"/>
          <w:jc w:val="center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3B53DD" w14:textId="3C9CA1E1" w:rsidR="00A92419" w:rsidRPr="00E00286" w:rsidRDefault="00A92419" w:rsidP="0012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EF20A1" w14:textId="05315AF1" w:rsidR="00A92419" w:rsidRPr="00E00286" w:rsidRDefault="00A92419" w:rsidP="0012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Додаткові надходження до міського бюджету. </w:t>
            </w:r>
            <w:r w:rsidR="0012534B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Створення нових робочих місць.</w:t>
            </w:r>
          </w:p>
          <w:p w14:paraId="1E0D01E8" w14:textId="02EF1972" w:rsidR="0012534B" w:rsidRPr="00E00286" w:rsidRDefault="0007241C" w:rsidP="0012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Зменшення соціальної напруги.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21E7D4" w14:textId="61EF01BE" w:rsidR="00A92419" w:rsidRPr="00E00286" w:rsidRDefault="00A92419" w:rsidP="00012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Витрати на реалізацію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50B1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DA5505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відповідно до М-Тесту за перший рік регулювання                </w:t>
            </w:r>
            <w:r w:rsidR="00927405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1 041,60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740ED2BB" w14:textId="4AC9A29D" w:rsidR="000126D1" w:rsidRPr="00E00286" w:rsidRDefault="00A10D7A" w:rsidP="00A10D7A">
            <w:pPr>
              <w:tabs>
                <w:tab w:val="left" w:pos="33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</w:tbl>
    <w:p w14:paraId="53528460" w14:textId="77777777" w:rsidR="00FD0437" w:rsidRPr="00E00286" w:rsidRDefault="00FD0437" w:rsidP="00D162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AD403A" w14:textId="77777777" w:rsidR="00FD47AE" w:rsidRPr="00E00286" w:rsidRDefault="00CD6027" w:rsidP="00D162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 впливу на</w:t>
      </w:r>
      <w:r w:rsidR="00FD47AE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сферу інтересів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FD0437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tbl>
      <w:tblPr>
        <w:tblpPr w:leftFromText="180" w:rightFromText="180" w:vertAnchor="text" w:tblpXSpec="center" w:tblpY="1"/>
        <w:tblOverlap w:val="never"/>
        <w:tblW w:w="91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2486"/>
        <w:gridCol w:w="4657"/>
      </w:tblGrid>
      <w:tr w:rsidR="00E037DC" w:rsidRPr="00E00286" w14:paraId="21C0DA7C" w14:textId="77777777" w:rsidTr="00E037DC">
        <w:trPr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5B362" w14:textId="77777777" w:rsidR="008F2D6A" w:rsidRPr="00E00286" w:rsidRDefault="008F2D6A" w:rsidP="00E0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F86ED" w14:textId="77777777" w:rsidR="008F2D6A" w:rsidRPr="00E00286" w:rsidRDefault="008F2D6A" w:rsidP="00E0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80126" w14:textId="77777777" w:rsidR="008F2D6A" w:rsidRPr="00E00286" w:rsidRDefault="008F2D6A" w:rsidP="00E0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Витрати</w:t>
            </w:r>
          </w:p>
        </w:tc>
      </w:tr>
      <w:tr w:rsidR="00E037DC" w:rsidRPr="00E00286" w14:paraId="46CD9FAA" w14:textId="77777777" w:rsidTr="00E037DC">
        <w:trPr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A8C0D" w14:textId="77777777" w:rsidR="008F2D6A" w:rsidRPr="00E00286" w:rsidRDefault="008F2D6A" w:rsidP="00E0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BDA17" w14:textId="5094106F" w:rsidR="008F2D6A" w:rsidRPr="00E00286" w:rsidRDefault="00E74371" w:rsidP="00E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A7880" w14:textId="147C1A2A" w:rsidR="008F2D6A" w:rsidRPr="00E00286" w:rsidRDefault="00CB00A0" w:rsidP="00E74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Втрата додаткової кількості робочих місць</w:t>
            </w:r>
          </w:p>
        </w:tc>
      </w:tr>
      <w:tr w:rsidR="00E037DC" w:rsidRPr="00E00286" w14:paraId="7202EF89" w14:textId="77777777" w:rsidTr="00E037DC">
        <w:trPr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31C71" w14:textId="77777777" w:rsidR="008F2D6A" w:rsidRPr="00E00286" w:rsidRDefault="008F2D6A" w:rsidP="00E0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6F32B" w14:textId="42B62ABD" w:rsidR="008F2D6A" w:rsidRPr="00E00286" w:rsidRDefault="00010EEC" w:rsidP="00E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FA467" w14:textId="780473A7" w:rsidR="008F2D6A" w:rsidRPr="00E00286" w:rsidRDefault="00CB00A0" w:rsidP="00CB0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Втрата додаткової </w:t>
            </w:r>
            <w:r w:rsidR="0007241C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кількості робочих місць</w:t>
            </w:r>
          </w:p>
        </w:tc>
      </w:tr>
      <w:tr w:rsidR="00E037DC" w:rsidRPr="00E00286" w14:paraId="532DDEAF" w14:textId="77777777" w:rsidTr="00E037DC">
        <w:trPr>
          <w:trHeight w:val="642"/>
          <w:tblCellSpacing w:w="0" w:type="dxa"/>
        </w:trPr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2EDDBD" w14:textId="15EFDF9E" w:rsidR="00010EEC" w:rsidRPr="00E00286" w:rsidRDefault="00010EEC" w:rsidP="00E03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97985F" w14:textId="7B2381AB" w:rsidR="00010EEC" w:rsidRPr="00E00286" w:rsidRDefault="007B738D" w:rsidP="00E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Збільшення кількості отримувачів </w:t>
            </w:r>
            <w:r w:rsidR="00A10D7A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фінансової допомоги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B3F213C" w14:textId="6DA81F19" w:rsidR="0007241C" w:rsidRPr="00E00286" w:rsidRDefault="0007241C" w:rsidP="00E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Збільшення кількості робочих місць.</w:t>
            </w:r>
          </w:p>
          <w:p w14:paraId="61FD6FCE" w14:textId="59BAD0A4" w:rsidR="007B738D" w:rsidRPr="00E00286" w:rsidRDefault="007B738D" w:rsidP="00E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Соціалізація та зайнятість киян,</w:t>
            </w:r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які повертаються у мирне життя</w:t>
            </w:r>
          </w:p>
        </w:tc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7D2C0" w14:textId="4122C19A" w:rsidR="00E037DC" w:rsidRPr="00E00286" w:rsidRDefault="00DA5505" w:rsidP="00E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  <w:p w14:paraId="52B70B00" w14:textId="77777777" w:rsidR="00010EEC" w:rsidRPr="00E00286" w:rsidRDefault="00010EEC" w:rsidP="00E7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0C8ED2A" w14:textId="77777777" w:rsidR="00FD0437" w:rsidRPr="00E00286" w:rsidRDefault="00FD0437" w:rsidP="00E03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3F4F2E" w14:textId="77777777" w:rsidR="00FD47AE" w:rsidRPr="00E00286" w:rsidRDefault="00FD47AE" w:rsidP="00D1624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="0083711D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впливу на сферу інтересів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</w:t>
      </w:r>
      <w:r w:rsidR="0070375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господарювання:</w:t>
      </w:r>
    </w:p>
    <w:tbl>
      <w:tblPr>
        <w:tblW w:w="93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4"/>
        <w:gridCol w:w="1085"/>
        <w:gridCol w:w="993"/>
        <w:gridCol w:w="992"/>
        <w:gridCol w:w="992"/>
      </w:tblGrid>
      <w:tr w:rsidR="005754E3" w:rsidRPr="00E00286" w14:paraId="1BA2372B" w14:textId="77777777" w:rsidTr="005754E3">
        <w:trPr>
          <w:tblCellSpacing w:w="0" w:type="dxa"/>
          <w:jc w:val="center"/>
        </w:trPr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D7959" w14:textId="77777777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4F272" w14:textId="77777777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Великі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5D235" w14:textId="77777777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E4771" w14:textId="77777777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Малі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6AB30" w14:textId="77777777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</w:tr>
      <w:tr w:rsidR="005754E3" w:rsidRPr="00E00286" w14:paraId="15695D1B" w14:textId="77777777" w:rsidTr="005754E3">
        <w:trPr>
          <w:tblCellSpacing w:w="0" w:type="dxa"/>
          <w:jc w:val="center"/>
        </w:trPr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B214C" w14:textId="77777777" w:rsidR="005754E3" w:rsidRPr="00E00286" w:rsidRDefault="005754E3" w:rsidP="00DE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92EAF" w14:textId="5B134367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0D3C0" w14:textId="43C0F10A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786754" w14:textId="644DF42F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D36BB" w14:textId="30A5E035" w:rsidR="005754E3" w:rsidRPr="00E00286" w:rsidRDefault="005754E3" w:rsidP="00575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1015</w:t>
            </w:r>
          </w:p>
        </w:tc>
      </w:tr>
      <w:tr w:rsidR="005754E3" w:rsidRPr="00E00286" w14:paraId="59FE5FEF" w14:textId="77777777" w:rsidTr="005754E3">
        <w:trPr>
          <w:tblCellSpacing w:w="0" w:type="dxa"/>
          <w:jc w:val="center"/>
        </w:trPr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59EFE" w14:textId="77777777" w:rsidR="005754E3" w:rsidRPr="00E00286" w:rsidRDefault="005754E3" w:rsidP="00DE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12301" w14:textId="26E892C9" w:rsidR="005754E3" w:rsidRPr="00E00286" w:rsidRDefault="005754E3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8C80F" w14:textId="2852EF78" w:rsidR="005754E3" w:rsidRPr="00E00286" w:rsidRDefault="003F7644" w:rsidP="00DE2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FDA76" w14:textId="2CCDAB28" w:rsidR="005754E3" w:rsidRPr="00E00286" w:rsidRDefault="005754E3" w:rsidP="00C1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ACD2E" w14:textId="77777777" w:rsidR="005754E3" w:rsidRPr="00E00286" w:rsidRDefault="005754E3" w:rsidP="001B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14:paraId="6FF0D2D8" w14:textId="03C4B9E8" w:rsidR="007B738D" w:rsidRPr="00E00286" w:rsidRDefault="007B738D" w:rsidP="007B73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00286">
        <w:rPr>
          <w:rFonts w:ascii="Times New Roman" w:hAnsi="Times New Roman" w:cs="Times New Roman"/>
          <w:sz w:val="28"/>
          <w:szCs w:val="28"/>
          <w:lang w:val="uk-UA" w:eastAsia="uk-UA"/>
        </w:rPr>
        <w:t>Кількість суб’єктів малого підприємництва, на як</w:t>
      </w:r>
      <w:r w:rsidR="00DA5505" w:rsidRPr="00E0028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их поширюється регулювання: </w:t>
      </w:r>
      <w:r w:rsidR="00271F6A" w:rsidRPr="00E00286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DA5505" w:rsidRPr="00E0028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lang w:val="uk-UA" w:eastAsia="uk-UA"/>
        </w:rPr>
        <w:t>000 о</w:t>
      </w:r>
      <w:r w:rsidR="00550256" w:rsidRPr="00E0028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диниць, </w:t>
      </w:r>
      <w:r w:rsidRPr="00E00286">
        <w:rPr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="00FE76AA" w:rsidRPr="00E00286">
        <w:rPr>
          <w:rFonts w:ascii="Times New Roman" w:hAnsi="Times New Roman" w:cs="Times New Roman"/>
          <w:sz w:val="28"/>
          <w:szCs w:val="28"/>
          <w:lang w:val="uk-UA" w:eastAsia="uk-UA"/>
        </w:rPr>
        <w:t>орієнтовно (розрахунково)</w:t>
      </w:r>
      <w:r w:rsidR="002729E6" w:rsidRPr="00E00286">
        <w:rPr>
          <w:rFonts w:ascii="Times New Roman" w:hAnsi="Times New Roman" w:cs="Times New Roman"/>
          <w:sz w:val="28"/>
          <w:szCs w:val="28"/>
          <w:lang w:val="uk-UA" w:eastAsia="uk-UA"/>
        </w:rPr>
        <w:t>)</w:t>
      </w:r>
      <w:r w:rsidR="00FE76AA" w:rsidRPr="00E0028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tbl>
      <w:tblPr>
        <w:tblW w:w="9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3131"/>
        <w:gridCol w:w="3226"/>
      </w:tblGrid>
      <w:tr w:rsidR="00DF3CC4" w:rsidRPr="00E00286" w14:paraId="0A99D4D6" w14:textId="77777777" w:rsidTr="00A117FF">
        <w:trPr>
          <w:tblCellSpacing w:w="0" w:type="dxa"/>
          <w:jc w:val="center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7781B" w14:textId="77777777" w:rsidR="00FD47AE" w:rsidRPr="00E00286" w:rsidRDefault="00FD47AE" w:rsidP="00B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77BD9" w14:textId="77777777" w:rsidR="00FD47AE" w:rsidRPr="00E00286" w:rsidRDefault="00FD47AE" w:rsidP="00B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71E14" w14:textId="77777777" w:rsidR="00FD47AE" w:rsidRPr="00E00286" w:rsidRDefault="00FD47AE" w:rsidP="00BB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Витрати</w:t>
            </w:r>
          </w:p>
        </w:tc>
      </w:tr>
      <w:tr w:rsidR="00DF3CC4" w:rsidRPr="00E00286" w14:paraId="221D79F4" w14:textId="77777777" w:rsidTr="00A117FF">
        <w:trPr>
          <w:tblCellSpacing w:w="0" w:type="dxa"/>
          <w:jc w:val="center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6DB0D" w14:textId="77777777" w:rsidR="00FD47AE" w:rsidRPr="00E00286" w:rsidRDefault="00FD47AE" w:rsidP="00BB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E5C3D" w14:textId="7D10A3AC" w:rsidR="00FD47AE" w:rsidRPr="00E00286" w:rsidRDefault="00A768CA" w:rsidP="00A7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553D3" w14:textId="4CCCAFA4" w:rsidR="0070375F" w:rsidRPr="00E00286" w:rsidRDefault="00A768CA" w:rsidP="00FB37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Зменшення кількості суб’єктів господарювання, які можуть отримати </w:t>
            </w:r>
            <w:r w:rsidR="00FB3763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фінансову допомогу</w:t>
            </w:r>
          </w:p>
        </w:tc>
      </w:tr>
      <w:tr w:rsidR="00DF3CC4" w:rsidRPr="00E00286" w14:paraId="7727EE3D" w14:textId="77777777" w:rsidTr="00A117FF">
        <w:trPr>
          <w:tblCellSpacing w:w="0" w:type="dxa"/>
          <w:jc w:val="center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C573C" w14:textId="77777777" w:rsidR="00FD47AE" w:rsidRPr="00E00286" w:rsidRDefault="00FD0437" w:rsidP="00BB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0B9195" w14:textId="6563EE6D" w:rsidR="00BA0934" w:rsidRPr="00E00286" w:rsidRDefault="00A768CA" w:rsidP="00A768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C3486" w14:textId="581899BD" w:rsidR="00CC2989" w:rsidRPr="00E00286" w:rsidRDefault="00A768CA" w:rsidP="00FB3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Зменшення кількості суб’єктів господарювання, які можуть отримати </w:t>
            </w:r>
            <w:r w:rsidR="00FB3763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фінансову допомогу</w:t>
            </w:r>
          </w:p>
        </w:tc>
      </w:tr>
      <w:tr w:rsidR="0069427B" w:rsidRPr="00E00286" w14:paraId="4F75C972" w14:textId="77777777" w:rsidTr="00A117FF">
        <w:trPr>
          <w:tblCellSpacing w:w="0" w:type="dxa"/>
          <w:jc w:val="center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5D9B95" w14:textId="3454D7AF" w:rsidR="0069427B" w:rsidRPr="00E00286" w:rsidRDefault="0069427B" w:rsidP="00BB1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6721B" w14:textId="2E53C4B5" w:rsidR="0069427B" w:rsidRPr="00E00286" w:rsidRDefault="002729E6" w:rsidP="004828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Збільшується кількість </w:t>
            </w:r>
            <w:r w:rsidR="0048285C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суб’єктів господарю</w:t>
            </w:r>
            <w:r w:rsidR="00FB3763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вання, які </w:t>
            </w:r>
            <w:r w:rsidR="00FB3763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можуть отримати фінансову допомогу</w:t>
            </w:r>
            <w:r w:rsidR="0048285C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C5669" w14:textId="3ED10794" w:rsidR="000126D1" w:rsidRPr="00E00286" w:rsidRDefault="000126D1" w:rsidP="000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Витрати на реалізацію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відповідно до М-Тесту за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перший рік регулювання                </w:t>
            </w:r>
            <w:r w:rsidR="00036FE9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12 960,00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57F43A84" w14:textId="6219E279" w:rsidR="0069427B" w:rsidRPr="00852CE6" w:rsidRDefault="000126D1" w:rsidP="00012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Витрати великого та середнього підприємництва за перший рік регулювання </w:t>
            </w:r>
            <w:r w:rsidR="00530BF5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1216A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  <w:r w:rsidR="0051216A" w:rsidRPr="00852C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23</w:t>
            </w:r>
            <w:r w:rsidR="00530BF5" w:rsidRPr="00852C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51216A" w:rsidRPr="00852C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840</w:t>
            </w:r>
            <w:r w:rsidR="0051216A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,00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r w:rsidR="005C6FF2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568513D8" w14:textId="77777777" w:rsidR="002A1ACD" w:rsidRPr="00E00286" w:rsidRDefault="002A1ACD" w:rsidP="000E32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EC8F99" w14:textId="77777777" w:rsidR="00D06A05" w:rsidRPr="00E00286" w:rsidRDefault="00D06A05" w:rsidP="00D06A0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r w:rsidRPr="00E002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ВИТРАТИ</w:t>
      </w:r>
      <w:r w:rsidRPr="00E0028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br/>
      </w:r>
      <w:r w:rsidRPr="00E002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E002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uk-UA"/>
        </w:rPr>
        <w:t>акта</w:t>
      </w:r>
      <w:proofErr w:type="spellEnd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5626"/>
        <w:gridCol w:w="1144"/>
        <w:gridCol w:w="1144"/>
      </w:tblGrid>
      <w:tr w:rsidR="00D06A05" w:rsidRPr="00E00286" w14:paraId="286026FE" w14:textId="77777777" w:rsidTr="003D26CB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CD28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1" w:name="n178"/>
            <w:bookmarkEnd w:id="1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Порядковий номер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3292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1057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перший рік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927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п’ять років</w:t>
            </w:r>
          </w:p>
        </w:tc>
      </w:tr>
      <w:tr w:rsidR="00D06A05" w:rsidRPr="00E00286" w14:paraId="4820EA6B" w14:textId="77777777" w:rsidTr="003D26CB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C49B7E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8DF39D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C78269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E2CEB5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33222C99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CDDDAB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BDB7F2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469C0D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DD7017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7DB3B417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15C85E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B48F5E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ED0574" w14:textId="179CDFBA" w:rsidR="00D06A05" w:rsidRPr="00E00286" w:rsidRDefault="005B28D9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3</w:t>
            </w:r>
            <w:r w:rsidR="00FC66D2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840</w:t>
            </w:r>
            <w:r w:rsidR="006217FF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</w:t>
            </w:r>
            <w:r w:rsidR="00D06A0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71A2B" w14:textId="783F93F2" w:rsidR="00D06A05" w:rsidRPr="00E00286" w:rsidRDefault="006217FF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</w:t>
            </w:r>
            <w:r w:rsidR="005B28D9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9</w:t>
            </w:r>
            <w:r w:rsidR="00FC66D2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="005B28D9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200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</w:t>
            </w:r>
            <w:r w:rsidR="00D06A0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</w:tr>
      <w:tr w:rsidR="00D06A05" w:rsidRPr="00E00286" w14:paraId="0FBD120A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10D9B4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7CB845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B5D581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CC96AC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1F9D1F31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69BD08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85CCF9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1549F8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C37CF3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0E607EE0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C25505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447FD3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E8A7C7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796D3D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2D0B9822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F01651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94EB14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Витрати, пов’язані із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наймом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додаткового персоналу,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0B4D4F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A1B0E2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27DE27F3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D81583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BE0F2A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Інше (гривень):</w:t>
            </w:r>
          </w:p>
          <w:p w14:paraId="5258B086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Аналіз документів отримувача на відповідність вимогам Положення;</w:t>
            </w:r>
          </w:p>
          <w:p w14:paraId="2F78DEAB" w14:textId="7CD91F6C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Підготовка та надання Департаменту Реєстру погодження отримувачів, </w:t>
            </w:r>
            <w:r w:rsidR="00FB3763"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можуть претендувати на фінансову допомогу</w:t>
            </w: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4B0325BB" w14:textId="08BC9F52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та надання Департаменту Реєст</w:t>
            </w:r>
            <w:r w:rsidR="00FB3763"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ру отримувачів  фінансової допомоги</w:t>
            </w: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52CB4815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Перерахування коштів на поточні рахунки отримувачів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991C9A" w14:textId="79A705F7" w:rsidR="00D06A05" w:rsidRPr="00E00286" w:rsidRDefault="005B28D9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lastRenderedPageBreak/>
              <w:t>4</w:t>
            </w:r>
            <w:r w:rsidR="00FC66D2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416,00</w:t>
            </w:r>
            <w:r w:rsidR="00C119C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EB2B05" w14:textId="5E18D4C2" w:rsidR="00D06A05" w:rsidRPr="00E00286" w:rsidRDefault="005B28D9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22</w:t>
            </w:r>
            <w:r w:rsidR="00FC66D2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080,00</w:t>
            </w:r>
            <w:r w:rsidR="00C119C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</w:tr>
      <w:tr w:rsidR="00D06A05" w:rsidRPr="00E00286" w14:paraId="10CD8067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AF538C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24D32A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 (сума рядків: 1 + 2 + 3 + 4 + 5 + 6 + 7 + 8),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C5B9A9" w14:textId="494DDB34" w:rsidR="00D06A05" w:rsidRPr="00E00286" w:rsidRDefault="005B28D9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8</w:t>
            </w:r>
            <w:r w:rsidR="00516BBB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256,00</w:t>
            </w:r>
            <w:r w:rsidR="00C119C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708C91" w14:textId="105FE12B" w:rsidR="00D06A05" w:rsidRPr="00E00286" w:rsidRDefault="005B28D9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41</w:t>
            </w:r>
            <w:r w:rsidR="00516BBB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280</w:t>
            </w:r>
            <w:r w:rsidR="006217FF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</w:t>
            </w:r>
            <w:r w:rsidR="00C119C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</w:tr>
      <w:tr w:rsidR="00D06A05" w:rsidRPr="00E00286" w14:paraId="43364EBE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C3AE49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01E936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5C630E" w14:textId="3940350C" w:rsidR="00D06A05" w:rsidRPr="00E00286" w:rsidRDefault="00954030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50F0E5" w14:textId="50DEEF5A" w:rsidR="00D06A05" w:rsidRPr="00E00286" w:rsidRDefault="00954030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15</w:t>
            </w:r>
          </w:p>
        </w:tc>
      </w:tr>
      <w:tr w:rsidR="00D06A05" w:rsidRPr="00E00286" w14:paraId="07753EC2" w14:textId="77777777" w:rsidTr="00717E54">
        <w:trPr>
          <w:jc w:val="center"/>
        </w:trPr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77A8C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9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931817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0FE180" w14:textId="34A2CA06" w:rsidR="00D06A05" w:rsidRPr="00E00286" w:rsidRDefault="006217FF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</w:t>
            </w:r>
            <w:r w:rsidR="005B28D9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23</w:t>
            </w:r>
            <w:r w:rsidR="00516BBB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="005B28D9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840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</w:t>
            </w:r>
            <w:r w:rsidR="00C119C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4ADFB7" w14:textId="642D2936" w:rsidR="00D06A05" w:rsidRPr="00E00286" w:rsidRDefault="005B28D9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619</w:t>
            </w:r>
            <w:r w:rsidR="00516BBB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200</w:t>
            </w:r>
            <w:r w:rsidR="00D06A0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</w:t>
            </w:r>
            <w:r w:rsidR="00C119C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грн</w:t>
            </w:r>
          </w:p>
        </w:tc>
      </w:tr>
    </w:tbl>
    <w:p w14:paraId="37F552B2" w14:textId="77777777" w:rsidR="00D06A05" w:rsidRPr="00E00286" w:rsidRDefault="00D06A05" w:rsidP="00D06A05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bookmarkStart w:id="2" w:name="n179"/>
      <w:bookmarkEnd w:id="2"/>
      <w:r w:rsidRPr="00E0028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>Розрахунок відповідних витрат на одного суб’єкта господарювання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8"/>
        <w:gridCol w:w="1620"/>
        <w:gridCol w:w="1542"/>
        <w:gridCol w:w="1695"/>
      </w:tblGrid>
      <w:tr w:rsidR="00D06A05" w:rsidRPr="00E00286" w14:paraId="5705FB79" w14:textId="77777777" w:rsidTr="00BA6E0B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55AC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3" w:name="n180"/>
            <w:bookmarkEnd w:id="3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 витрат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D9D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перший рік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899D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Періодичні (за рік)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341D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за п’ять років</w:t>
            </w:r>
          </w:p>
        </w:tc>
      </w:tr>
      <w:tr w:rsidR="00D06A05" w:rsidRPr="00E00286" w14:paraId="74455877" w14:textId="77777777" w:rsidTr="00BA6E0B">
        <w:tc>
          <w:tcPr>
            <w:tcW w:w="240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B8D40FA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5027F81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BE232AF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FBF2D9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7AD156A8" w14:textId="77777777" w:rsidTr="00BA6E0B"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C02C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4" w:name="n181"/>
            <w:bookmarkEnd w:id="4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 витрат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240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5520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за п’ять років</w:t>
            </w:r>
          </w:p>
        </w:tc>
      </w:tr>
      <w:tr w:rsidR="00D06A05" w:rsidRPr="00E00286" w14:paraId="6004396E" w14:textId="77777777" w:rsidTr="00BA6E0B">
        <w:tc>
          <w:tcPr>
            <w:tcW w:w="24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F66769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EA1510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36F290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1D1C16DE" w14:textId="77777777" w:rsidR="00D06A05" w:rsidRPr="00E00286" w:rsidRDefault="00D06A05" w:rsidP="00D06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uk-UA" w:eastAsia="uk-UA"/>
        </w:rPr>
      </w:pPr>
      <w:bookmarkStart w:id="5" w:name="n182"/>
      <w:bookmarkEnd w:id="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1717"/>
        <w:gridCol w:w="1716"/>
        <w:gridCol w:w="1620"/>
        <w:gridCol w:w="1430"/>
      </w:tblGrid>
      <w:tr w:rsidR="00D06A05" w:rsidRPr="00E00286" w14:paraId="2CE47F22" w14:textId="77777777" w:rsidTr="003D26CB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F752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 витрат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F93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Витрати* на ведення обліку, підготовку та подання звітності (за рік)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0A3F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оплату штрафних санкцій за рік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D78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 за рік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94B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за п’ять років</w:t>
            </w:r>
          </w:p>
        </w:tc>
      </w:tr>
      <w:tr w:rsidR="00D06A05" w:rsidRPr="00E00286" w14:paraId="1672DB0E" w14:textId="77777777" w:rsidTr="003D26CB">
        <w:tc>
          <w:tcPr>
            <w:tcW w:w="15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EE13D7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Витрати, пов’язані із веденням обліку, </w:t>
            </w: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підготовкою та поданням звітності державним органам (витрати часу персоналу)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7C0CCD" w14:textId="1D161D20" w:rsidR="00D06A05" w:rsidRPr="00E00286" w:rsidRDefault="00872034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3 840</w:t>
            </w:r>
            <w:r w:rsidR="006217FF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,00 </w:t>
            </w:r>
            <w:r w:rsidR="00C119C5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03EB50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6749E9" w14:textId="41CFC462" w:rsidR="00D06A05" w:rsidRPr="00E00286" w:rsidRDefault="00872034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3 840</w:t>
            </w:r>
            <w:r w:rsidR="0051216A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 грн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8B2E10" w14:textId="0ABA47FF" w:rsidR="00D06A05" w:rsidRPr="00E00286" w:rsidRDefault="00872034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19 200</w:t>
            </w:r>
            <w:r w:rsidR="0051216A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 грн</w:t>
            </w:r>
          </w:p>
        </w:tc>
      </w:tr>
    </w:tbl>
    <w:p w14:paraId="4F4A6740" w14:textId="77777777" w:rsidR="00D06A05" w:rsidRPr="00E00286" w:rsidRDefault="00D06A05" w:rsidP="00D06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bookmarkStart w:id="6" w:name="n183"/>
      <w:bookmarkEnd w:id="6"/>
      <w:r w:rsidRPr="00E00286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uk-UA"/>
        </w:rPr>
        <w:t>_________</w:t>
      </w:r>
      <w:r w:rsidRPr="00E0028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br/>
      </w:r>
      <w:r w:rsidRPr="00E00286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uk-UA"/>
        </w:rPr>
        <w:t>* 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2289"/>
        <w:gridCol w:w="1620"/>
        <w:gridCol w:w="1239"/>
        <w:gridCol w:w="1239"/>
      </w:tblGrid>
      <w:tr w:rsidR="00D06A05" w:rsidRPr="00E00286" w14:paraId="2A3C619C" w14:textId="77777777" w:rsidTr="003D26CB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E0CE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7" w:name="n184"/>
            <w:bookmarkEnd w:id="7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 витрат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47E1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Витрати* на адміністрування заходів державного нагляду (контролю) (за рік)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651F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1CB3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 за рік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A89D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за п’ять років</w:t>
            </w:r>
          </w:p>
        </w:tc>
      </w:tr>
      <w:tr w:rsidR="00D06A05" w:rsidRPr="00E00286" w14:paraId="28B8E12E" w14:textId="77777777" w:rsidTr="003D26CB">
        <w:tc>
          <w:tcPr>
            <w:tcW w:w="15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795797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2255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FE44F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E672D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D11254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7A3722F" w14:textId="77777777" w:rsidR="00D06A05" w:rsidRPr="00E00286" w:rsidRDefault="00D06A05" w:rsidP="00D06A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bookmarkStart w:id="8" w:name="n185"/>
      <w:bookmarkEnd w:id="8"/>
      <w:r w:rsidRPr="00E00286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uk-UA"/>
        </w:rPr>
        <w:t>__________</w:t>
      </w:r>
      <w:r w:rsidRPr="00E0028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br/>
      </w:r>
      <w:r w:rsidRPr="00E00286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uk-UA"/>
        </w:rPr>
        <w:t>* Вартість витрат, пов’язаних з адмініструванням заходів державного нагляду (контролю), визначається шляхом множення фактичних витрат часу персоналу на заробітну плату спеціаліста відповідної кваліфікації.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667"/>
        <w:gridCol w:w="1049"/>
        <w:gridCol w:w="858"/>
        <w:gridCol w:w="1049"/>
        <w:gridCol w:w="953"/>
        <w:gridCol w:w="667"/>
        <w:gridCol w:w="1144"/>
      </w:tblGrid>
      <w:tr w:rsidR="00D06A05" w:rsidRPr="00E00286" w14:paraId="70923F99" w14:textId="77777777" w:rsidTr="003D26CB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5210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9" w:name="n186"/>
            <w:bookmarkEnd w:id="9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 витрат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F33F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A403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BEC3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Разом за рік (стартовий)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171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за п’ять років</w:t>
            </w:r>
          </w:p>
        </w:tc>
      </w:tr>
      <w:tr w:rsidR="00D06A05" w:rsidRPr="00E00286" w14:paraId="70C4D0B7" w14:textId="77777777" w:rsidTr="003D26CB">
        <w:tc>
          <w:tcPr>
            <w:tcW w:w="1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9EB3DD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 атестації тощо) та інших послуг (проведення наукових, інших експертиз, страхування тощо)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466F2B0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7915C4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44D325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7653591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D06A05" w:rsidRPr="00E00286" w14:paraId="61228D9A" w14:textId="77777777" w:rsidTr="003D26CB"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02E7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10" w:name="n187"/>
            <w:bookmarkEnd w:id="10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Вид витрат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2CAA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рік (стартовий)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9F2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Періодичні</w:t>
            </w: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(за наступний рік)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B7A1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за п’ять років</w:t>
            </w:r>
          </w:p>
        </w:tc>
      </w:tr>
      <w:tr w:rsidR="00D06A05" w:rsidRPr="00E00286" w14:paraId="4CF0F188" w14:textId="77777777" w:rsidTr="003D26CB">
        <w:tc>
          <w:tcPr>
            <w:tcW w:w="190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9F3F4A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4BB467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54A7EF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BB77D4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526ECF5D" w14:textId="77777777" w:rsidR="00D06A05" w:rsidRPr="00E00286" w:rsidRDefault="00D06A05" w:rsidP="00D06A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val="uk-UA" w:eastAsia="uk-UA"/>
        </w:rPr>
      </w:pPr>
      <w:bookmarkStart w:id="11" w:name="n188"/>
      <w:bookmarkEnd w:id="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3910"/>
        <w:gridCol w:w="1716"/>
      </w:tblGrid>
      <w:tr w:rsidR="00D06A05" w:rsidRPr="00E00286" w14:paraId="04671CD4" w14:textId="77777777" w:rsidTr="003D26CB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FE47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Вид витрат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94F3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на оплату праці додатково найманого персоналу (за рік)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2018" w14:textId="77777777" w:rsidR="00D06A05" w:rsidRPr="00E00286" w:rsidRDefault="00D06A05" w:rsidP="00D06A0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Витрати за</w:t>
            </w: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br/>
              <w:t>п’ять років</w:t>
            </w:r>
          </w:p>
        </w:tc>
      </w:tr>
      <w:tr w:rsidR="00D06A05" w:rsidRPr="00E00286" w14:paraId="3E6556FE" w14:textId="77777777" w:rsidTr="003D26CB">
        <w:tc>
          <w:tcPr>
            <w:tcW w:w="195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02C997E8" w14:textId="77777777" w:rsidR="00D06A05" w:rsidRPr="00E00286" w:rsidRDefault="00D06A05" w:rsidP="00D06A0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Витрати, пов’язані із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наймом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додаткового персоналу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5D2D" w14:textId="77777777" w:rsidR="00D06A05" w:rsidRPr="00E00286" w:rsidRDefault="00D06A05" w:rsidP="00D0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3C2D" w14:textId="77777777" w:rsidR="00D06A05" w:rsidRPr="00E00286" w:rsidRDefault="00D06A05" w:rsidP="00D06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-</w:t>
            </w:r>
          </w:p>
        </w:tc>
      </w:tr>
    </w:tbl>
    <w:p w14:paraId="148FABDD" w14:textId="409FC163" w:rsidR="00D06A05" w:rsidRPr="00E00286" w:rsidRDefault="00D06A05" w:rsidP="00D06A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BCAC7DC" w14:textId="3D62150B" w:rsidR="00ED0D4B" w:rsidRPr="00E00286" w:rsidRDefault="00ED0D4B" w:rsidP="00D06A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4997" w:type="pct"/>
        <w:tblInd w:w="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4"/>
        <w:gridCol w:w="2925"/>
      </w:tblGrid>
      <w:tr w:rsidR="00ED0D4B" w:rsidRPr="00E00286" w14:paraId="16A2DBDB" w14:textId="77777777" w:rsidTr="003D26CB"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891DA" w14:textId="77777777" w:rsidR="00ED0D4B" w:rsidRPr="00E00286" w:rsidRDefault="00ED0D4B" w:rsidP="00ED0D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Сумарні витрати за альтернативами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A05326" w14:textId="77777777" w:rsidR="00ED0D4B" w:rsidRPr="00E00286" w:rsidRDefault="00ED0D4B" w:rsidP="00ED0D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Сума витрат, гривень</w:t>
            </w:r>
          </w:p>
        </w:tc>
      </w:tr>
      <w:tr w:rsidR="00ED0D4B" w:rsidRPr="00E00286" w14:paraId="61255A3C" w14:textId="77777777" w:rsidTr="003D26CB">
        <w:tc>
          <w:tcPr>
            <w:tcW w:w="343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D92E90" w14:textId="77777777" w:rsidR="00ED0D4B" w:rsidRPr="00E00286" w:rsidRDefault="00ED0D4B" w:rsidP="00ED0D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Альтернатива 1. Сумарні витрати для суб’єктів господарювання великого і середнього підприємництва  згідно з додатком 2 до Методики проведення аналізу впливу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 (рядок 11 таблиці “Витрати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”)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98650C4" w14:textId="77777777" w:rsidR="00ED0D4B" w:rsidRPr="00E00286" w:rsidRDefault="00ED0D4B" w:rsidP="00ED0D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  <w:p w14:paraId="52824F9B" w14:textId="77777777" w:rsidR="00ED0D4B" w:rsidRPr="00E00286" w:rsidRDefault="00ED0D4B" w:rsidP="00ED0D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  <w:p w14:paraId="26DC0129" w14:textId="40D5509C" w:rsidR="00ED0D4B" w:rsidRPr="00E00286" w:rsidRDefault="00ED0D4B" w:rsidP="00ED0D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Обчислити неможливо</w:t>
            </w:r>
          </w:p>
        </w:tc>
      </w:tr>
      <w:tr w:rsidR="00ED0D4B" w:rsidRPr="00E00286" w14:paraId="34C7B080" w14:textId="77777777" w:rsidTr="00ED0D4B">
        <w:tc>
          <w:tcPr>
            <w:tcW w:w="3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1039B0E" w14:textId="77777777" w:rsidR="00ED0D4B" w:rsidRPr="00E00286" w:rsidRDefault="00ED0D4B" w:rsidP="00ED0D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Альтернатива 2. Сумарні витрати для суб’єктів господарювання великого і середнього підприємництва згідно з додатком 2 до Методики проведення аналізу впливу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 (рядок 11 таблиці “Витрати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”)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94E54B" w14:textId="77777777" w:rsidR="00ED0D4B" w:rsidRPr="00E00286" w:rsidRDefault="00ED0D4B" w:rsidP="00ED0D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  <w:p w14:paraId="0549ED9D" w14:textId="77777777" w:rsidR="00ED0D4B" w:rsidRPr="00E00286" w:rsidRDefault="00ED0D4B" w:rsidP="00ED0D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  <w:p w14:paraId="326055C8" w14:textId="2B2D5606" w:rsidR="00ED0D4B" w:rsidRPr="00E00286" w:rsidRDefault="00ED0D4B" w:rsidP="00ED0D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Обчислити неможливо</w:t>
            </w:r>
          </w:p>
        </w:tc>
      </w:tr>
      <w:tr w:rsidR="00ED0D4B" w:rsidRPr="00E00286" w14:paraId="440F6D0C" w14:textId="77777777" w:rsidTr="00ED0D4B">
        <w:tc>
          <w:tcPr>
            <w:tcW w:w="3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BCAE5FB" w14:textId="77777777" w:rsidR="00ED0D4B" w:rsidRPr="00E00286" w:rsidRDefault="00ED0D4B" w:rsidP="00ED0D4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Альтернатива 3. Сумарні витрати для суб’єктів господарювання великого і середнього підприємництва  згідно з додатком 2 до Методики проведення аналізу впливу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 (рядок 11 таблиці “Витрати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”)</w:t>
            </w:r>
          </w:p>
        </w:tc>
        <w:tc>
          <w:tcPr>
            <w:tcW w:w="15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581A11B" w14:textId="77777777" w:rsidR="00ED0D4B" w:rsidRPr="00E00286" w:rsidRDefault="00ED0D4B" w:rsidP="00ED0D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</w:p>
          <w:p w14:paraId="61E5B2F6" w14:textId="14B48E2A" w:rsidR="00ED0D4B" w:rsidRPr="00E00286" w:rsidRDefault="0061266A" w:rsidP="00ED0D4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123</w:t>
            </w:r>
            <w:r w:rsidR="00516BBB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>840</w:t>
            </w:r>
            <w:r w:rsidR="00ED0D4B" w:rsidRPr="00E0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,00 грн</w:t>
            </w:r>
          </w:p>
        </w:tc>
      </w:tr>
    </w:tbl>
    <w:p w14:paraId="0941B1F4" w14:textId="77777777" w:rsidR="00ED0D4B" w:rsidRPr="00E00286" w:rsidRDefault="00ED0D4B" w:rsidP="00D06A0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B063984" w14:textId="77777777" w:rsidR="001B12D7" w:rsidRPr="00E00286" w:rsidRDefault="002B0956" w:rsidP="002B0956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IV. Вибір</w:t>
      </w:r>
      <w:r w:rsidR="00E93032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найбільш оптимального</w:t>
      </w:r>
      <w:r w:rsidR="00E93032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B12D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альтернативного способу досягнення</w:t>
      </w:r>
      <w:r w:rsidR="00E93032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B12D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цілей</w:t>
      </w:r>
    </w:p>
    <w:p w14:paraId="256C2817" w14:textId="77777777" w:rsidR="001E3D1B" w:rsidRPr="00E00286" w:rsidRDefault="001E3D1B" w:rsidP="002B0956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D96061" w14:textId="77777777" w:rsidR="001B12D7" w:rsidRPr="00E00286" w:rsidRDefault="001B12D7" w:rsidP="00410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Єдиним способом розв’язання</w:t>
      </w:r>
      <w:r w:rsidR="00E9303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вищезазначен</w:t>
      </w:r>
      <w:r w:rsidR="002B0956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проблем, що</w:t>
      </w:r>
      <w:r w:rsidR="00E9303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відповідає потребам та забезпечує</w:t>
      </w:r>
      <w:r w:rsidR="00E9303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поступове</w:t>
      </w:r>
      <w:r w:rsidR="00E9303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досягнення</w:t>
      </w:r>
      <w:r w:rsidR="00E9303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встановлених</w:t>
      </w:r>
      <w:r w:rsidR="00E9303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цілей, є видання</w:t>
      </w:r>
      <w:r w:rsidR="00E9303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зазначеного регуляторного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акт</w:t>
      </w:r>
      <w:r w:rsidR="00794118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6536AF0" w14:textId="77777777" w:rsidR="001B12D7" w:rsidRPr="00E00286" w:rsidRDefault="001B12D7" w:rsidP="002B0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 </w:t>
      </w:r>
    </w:p>
    <w:tbl>
      <w:tblPr>
        <w:tblW w:w="92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078"/>
        <w:gridCol w:w="3868"/>
      </w:tblGrid>
      <w:tr w:rsidR="00DF3CC4" w:rsidRPr="00E00286" w14:paraId="299A61FC" w14:textId="77777777" w:rsidTr="00794118">
        <w:trPr>
          <w:tblCellSpacing w:w="0" w:type="dxa"/>
          <w:jc w:val="center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A6322" w14:textId="77777777" w:rsidR="001B12D7" w:rsidRPr="00E00286" w:rsidRDefault="001B12D7" w:rsidP="002B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Рейтинг результативності (досягнення</w:t>
            </w:r>
            <w:r w:rsidR="008A0D2D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цілей</w:t>
            </w:r>
            <w:r w:rsidR="008A0D2D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 час вирішення</w:t>
            </w:r>
            <w:r w:rsidR="008A0D2D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проблеми)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A098F" w14:textId="77777777" w:rsidR="001B12D7" w:rsidRPr="00E00286" w:rsidRDefault="001B12D7" w:rsidP="002B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3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D96AE" w14:textId="77777777" w:rsidR="001B12D7" w:rsidRPr="00E00286" w:rsidRDefault="001B12D7" w:rsidP="002B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Коментарі</w:t>
            </w:r>
            <w:r w:rsidR="00DC0E58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="00DC0E58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присвоєння</w:t>
            </w:r>
            <w:r w:rsidR="00DC0E58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бала</w:t>
            </w:r>
            <w:proofErr w:type="spellEnd"/>
          </w:p>
        </w:tc>
      </w:tr>
      <w:tr w:rsidR="00DF3CC4" w:rsidRPr="00E00286" w14:paraId="369223AA" w14:textId="77777777" w:rsidTr="00794118">
        <w:trPr>
          <w:tblCellSpacing w:w="0" w:type="dxa"/>
          <w:jc w:val="center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D30C" w14:textId="77777777" w:rsidR="001B12D7" w:rsidRPr="00E00286" w:rsidRDefault="001B12D7" w:rsidP="002B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62651" w14:textId="6447241A" w:rsidR="001B12D7" w:rsidRPr="00E00286" w:rsidRDefault="0069427B" w:rsidP="002B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89253" w14:textId="17C44527" w:rsidR="002118A0" w:rsidRPr="00E00286" w:rsidRDefault="002A1ACD" w:rsidP="00E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B12D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изначена проблема продовжує</w:t>
            </w:r>
            <w:r w:rsidR="00DC0E58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12D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існувати і не може бути розв’язана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оскільки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</w:t>
            </w:r>
            <w:r w:rsidR="002118A0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береження чинного регулювання не дає змоги досягнути </w:t>
            </w:r>
            <w:r w:rsidR="00E86604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цілей</w:t>
            </w:r>
            <w:r w:rsidR="002118A0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держ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авного регулювання, визначен</w:t>
            </w:r>
            <w:r w:rsidR="00E86604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2118A0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розділі</w:t>
            </w:r>
            <w:r w:rsidR="002118A0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ІІ</w:t>
            </w:r>
            <w:r w:rsidR="002118A0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цьо</w:t>
            </w:r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 аналізу регуляторного впливу</w:t>
            </w:r>
          </w:p>
        </w:tc>
      </w:tr>
      <w:tr w:rsidR="00DF3CC4" w:rsidRPr="00E00286" w14:paraId="42643E66" w14:textId="77777777" w:rsidTr="00794118">
        <w:trPr>
          <w:tblCellSpacing w:w="0" w:type="dxa"/>
          <w:jc w:val="center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F07DD" w14:textId="77777777" w:rsidR="001B12D7" w:rsidRPr="00E00286" w:rsidRDefault="00236A0B" w:rsidP="002B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D7604" w14:textId="17CB5798" w:rsidR="001B12D7" w:rsidRPr="00E00286" w:rsidRDefault="005C7234" w:rsidP="002B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033E" w14:textId="40D94636" w:rsidR="001B12D7" w:rsidRPr="00E00286" w:rsidRDefault="00DB4F5E" w:rsidP="002A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досягаються цілі регулювання</w:t>
            </w:r>
          </w:p>
        </w:tc>
      </w:tr>
      <w:tr w:rsidR="0069427B" w:rsidRPr="00553589" w14:paraId="599014F0" w14:textId="77777777" w:rsidTr="00794118">
        <w:trPr>
          <w:tblCellSpacing w:w="0" w:type="dxa"/>
          <w:jc w:val="center"/>
        </w:trPr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47113" w14:textId="160DAC9F" w:rsidR="0069427B" w:rsidRPr="00E00286" w:rsidRDefault="0069427B" w:rsidP="002B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2DC84" w14:textId="05B79330" w:rsidR="0069427B" w:rsidRPr="00E00286" w:rsidRDefault="005C7234" w:rsidP="002B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27C1D" w14:textId="1A80E048" w:rsidR="0069427B" w:rsidRPr="00E00286" w:rsidRDefault="005C7234" w:rsidP="002118A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Затвердження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 найбільш прийнятним та ефективним способом, який дозволить досягти повною мірою цілі державного регулювання, визначеної у розділі ІІ цьо</w:t>
            </w:r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 аналізу регуляторного впливу</w:t>
            </w:r>
          </w:p>
        </w:tc>
      </w:tr>
    </w:tbl>
    <w:p w14:paraId="1ABA9B2F" w14:textId="5C5E5E82" w:rsidR="001B12D7" w:rsidRPr="00E00286" w:rsidRDefault="00794118" w:rsidP="00410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Обраний спосіб відповідає діючому законодавству, зокрема, Закону України «Про місцеве</w:t>
      </w:r>
      <w:r w:rsidR="00CF0B4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самов</w:t>
      </w:r>
      <w:r w:rsidR="000711D3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рядування в Україні», </w:t>
      </w: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столицю</w:t>
      </w:r>
      <w:r w:rsidR="00CF0B42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B738D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– місто-герой Київ».</w:t>
      </w:r>
    </w:p>
    <w:p w14:paraId="2B5C9597" w14:textId="77777777" w:rsidR="007B738D" w:rsidRPr="00E00286" w:rsidRDefault="007B738D" w:rsidP="00071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93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268"/>
        <w:gridCol w:w="2693"/>
        <w:gridCol w:w="2401"/>
      </w:tblGrid>
      <w:tr w:rsidR="00DF3CC4" w:rsidRPr="00E00286" w14:paraId="5FBEA921" w14:textId="77777777" w:rsidTr="00DA2059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02289" w14:textId="77777777" w:rsidR="001B12D7" w:rsidRPr="00E00286" w:rsidRDefault="001B12D7" w:rsidP="00C4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Рейтинг результативності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987AF" w14:textId="77777777" w:rsidR="001B12D7" w:rsidRPr="00E00286" w:rsidRDefault="001B12D7" w:rsidP="00C4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71AF7" w14:textId="77777777" w:rsidR="001B12D7" w:rsidRPr="00E00286" w:rsidRDefault="001B12D7" w:rsidP="00C4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6021" w14:textId="77777777" w:rsidR="001B12D7" w:rsidRPr="00E00286" w:rsidRDefault="001B12D7" w:rsidP="00C4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  <w:r w:rsidR="00DF3CC4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відповідного</w:t>
            </w:r>
            <w:r w:rsidR="00DF3CC4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місця</w:t>
            </w:r>
            <w:r w:rsidR="00DF3CC4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альтернативи у рейтингу</w:t>
            </w:r>
          </w:p>
        </w:tc>
      </w:tr>
      <w:tr w:rsidR="00CB0AA2" w:rsidRPr="00E00286" w14:paraId="0CE49970" w14:textId="77777777" w:rsidTr="00DA2059">
        <w:trPr>
          <w:trHeight w:val="900"/>
          <w:tblCellSpacing w:w="0" w:type="dxa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06B3A58" w14:textId="77777777" w:rsidR="00CB0AA2" w:rsidRPr="00E00286" w:rsidRDefault="00CB0AA2" w:rsidP="00C4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A1644" w14:textId="77777777" w:rsidR="00CB0AA2" w:rsidRPr="00E00286" w:rsidRDefault="00CB0AA2" w:rsidP="00211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держави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4424EF71" w14:textId="77777777" w:rsidR="00CB0AA2" w:rsidRPr="00E00286" w:rsidRDefault="00CB0AA2" w:rsidP="004A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  <w:p w14:paraId="5802997E" w14:textId="77777777" w:rsidR="00CB0AA2" w:rsidRPr="00E00286" w:rsidRDefault="00CB0AA2" w:rsidP="0021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5B6660A3" w14:textId="77777777" w:rsidR="00CB0AA2" w:rsidRPr="00E00286" w:rsidRDefault="00CB0AA2" w:rsidP="0021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019643E8" w14:textId="77777777" w:rsidR="00CB0AA2" w:rsidRPr="00E00286" w:rsidRDefault="00CB0AA2" w:rsidP="00211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14:paraId="7AED9879" w14:textId="77777777" w:rsidR="00CB0AA2" w:rsidRPr="00E00286" w:rsidRDefault="00CB0AA2" w:rsidP="0082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F6447" w14:textId="77777777" w:rsidR="00CB0AA2" w:rsidRPr="00E00286" w:rsidRDefault="00CB0AA2" w:rsidP="00E86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держави:</w:t>
            </w:r>
          </w:p>
          <w:p w14:paraId="139253DB" w14:textId="7E7F2E73" w:rsidR="00CB0AA2" w:rsidRPr="00E00286" w:rsidRDefault="003E446E" w:rsidP="00C4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Зменшуєть</w:t>
            </w:r>
            <w:r w:rsidR="00DD019D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ся кількість отримувачів фінансової допомоги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що тягне за собою зменшення надходжень від сплати податків, зборів та інших обов’язкових плат</w:t>
            </w:r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ежів до бюджетів різних рівнів</w:t>
            </w:r>
          </w:p>
        </w:tc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FA7A151" w14:textId="77777777" w:rsidR="00CB0AA2" w:rsidRPr="00E00286" w:rsidRDefault="00CB0AA2" w:rsidP="00E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Визначена проблема продовжує існувати і не може бути розв’язана оскільки збереження чинного регулювання не дає змоги досягнути цілі державного регулювання,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визначеної у розділі ІІ цього аналізу регуляторного впливу.</w:t>
            </w:r>
          </w:p>
        </w:tc>
      </w:tr>
      <w:tr w:rsidR="00CB0AA2" w:rsidRPr="00E00286" w14:paraId="3020313E" w14:textId="77777777" w:rsidTr="00DA2059">
        <w:trPr>
          <w:trHeight w:val="2622"/>
          <w:tblCellSpacing w:w="0" w:type="dxa"/>
          <w:jc w:val="center"/>
        </w:trPr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5477E9" w14:textId="77777777" w:rsidR="00CB0AA2" w:rsidRPr="00E00286" w:rsidRDefault="00CB0AA2" w:rsidP="00C4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A348" w14:textId="77777777" w:rsidR="00823656" w:rsidRPr="00E00286" w:rsidRDefault="00823656" w:rsidP="00823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громадян:</w:t>
            </w:r>
          </w:p>
          <w:p w14:paraId="65B506C0" w14:textId="77777777" w:rsidR="00823656" w:rsidRPr="00E00286" w:rsidRDefault="00823656" w:rsidP="0082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Відсутні</w:t>
            </w:r>
          </w:p>
          <w:p w14:paraId="4C88E4F5" w14:textId="77777777" w:rsidR="00CB0AA2" w:rsidRPr="00E00286" w:rsidRDefault="00CB0AA2" w:rsidP="00C4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F96D8" w14:textId="77777777" w:rsidR="00823656" w:rsidRPr="00E00286" w:rsidRDefault="00823656" w:rsidP="00823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громадян:</w:t>
            </w:r>
          </w:p>
          <w:p w14:paraId="3AC47780" w14:textId="3485AFE7" w:rsidR="00CB0AA2" w:rsidRPr="00E00286" w:rsidRDefault="00DC7B4F" w:rsidP="00C47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Втрата додаткової кількості робочих місць </w:t>
            </w:r>
          </w:p>
        </w:tc>
        <w:tc>
          <w:tcPr>
            <w:tcW w:w="24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E2943F1" w14:textId="77777777" w:rsidR="00CB0AA2" w:rsidRPr="00E00286" w:rsidRDefault="00CB0AA2" w:rsidP="00E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0AA2" w:rsidRPr="00E00286" w14:paraId="038CEB8D" w14:textId="77777777" w:rsidTr="00DA2059">
        <w:trPr>
          <w:trHeight w:val="947"/>
          <w:tblCellSpacing w:w="0" w:type="dxa"/>
          <w:jc w:val="center"/>
        </w:trPr>
        <w:tc>
          <w:tcPr>
            <w:tcW w:w="1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30A8C" w14:textId="77777777" w:rsidR="00CB0AA2" w:rsidRPr="00E00286" w:rsidRDefault="00CB0AA2" w:rsidP="00C47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710F" w14:textId="77777777" w:rsidR="00823656" w:rsidRPr="00E00286" w:rsidRDefault="00823656" w:rsidP="00823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64886D41" w14:textId="64EB09EA" w:rsidR="00CB0AA2" w:rsidRPr="00E00286" w:rsidRDefault="00823656" w:rsidP="007F7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Відсутні </w:t>
            </w:r>
            <w:r w:rsidR="00D628C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D09FD" w14:textId="77777777" w:rsidR="00823656" w:rsidRPr="00E00286" w:rsidRDefault="00823656" w:rsidP="00823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60D452FE" w14:textId="2DC5FB5E" w:rsidR="00CB0AA2" w:rsidRPr="00E00286" w:rsidRDefault="00DC7B4F" w:rsidP="003D2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Зменшення кількості суб’єктів господарювання, які можуть отримати </w:t>
            </w:r>
            <w:r w:rsidR="003D26CB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фінансову допомогу</w:t>
            </w:r>
          </w:p>
        </w:tc>
        <w:tc>
          <w:tcPr>
            <w:tcW w:w="24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0C831" w14:textId="77777777" w:rsidR="00CB0AA2" w:rsidRPr="00E00286" w:rsidRDefault="00CB0AA2" w:rsidP="00E86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5472" w:rsidRPr="00E00286" w14:paraId="2FF9B453" w14:textId="77777777" w:rsidTr="00DA2059">
        <w:trPr>
          <w:trHeight w:val="2900"/>
          <w:tblCellSpacing w:w="0" w:type="dxa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DF1EA7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A7B2A6" w14:textId="77777777" w:rsidR="009F5472" w:rsidRPr="00E00286" w:rsidRDefault="009F5472" w:rsidP="0055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держави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567D7D2B" w14:textId="1C947809" w:rsidR="009F5472" w:rsidRPr="00E00286" w:rsidRDefault="00F5131B" w:rsidP="0055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  <w:p w14:paraId="2737C5EC" w14:textId="77777777" w:rsidR="009F5472" w:rsidRPr="00E00286" w:rsidRDefault="009F5472" w:rsidP="0055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14:paraId="708E2202" w14:textId="18C15325" w:rsidR="009F5472" w:rsidRPr="00E00286" w:rsidRDefault="009F5472" w:rsidP="0055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BB9373" w14:textId="77777777" w:rsidR="009F5472" w:rsidRPr="00E00286" w:rsidRDefault="009F5472" w:rsidP="00555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146BD6" w14:textId="77777777" w:rsidR="009F5472" w:rsidRPr="00E00286" w:rsidRDefault="009F5472" w:rsidP="008C194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479A80A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A30636C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2ED44" w14:textId="77777777" w:rsidR="009F5472" w:rsidRPr="00E00286" w:rsidRDefault="009F5472" w:rsidP="008C19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держави:</w:t>
            </w:r>
          </w:p>
          <w:p w14:paraId="2CF84946" w14:textId="796D8C2A" w:rsidR="009F5472" w:rsidRPr="00E00286" w:rsidRDefault="003E446E" w:rsidP="003D2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Зменшується кількість отримувачів </w:t>
            </w:r>
            <w:r w:rsidR="003D26CB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фінансової допомоги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що тягне за собою зменшення надходжень від сплати податків, зборів та інших обов’язкових пла</w:t>
            </w:r>
            <w:r w:rsidR="00DB4F5E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тежів до бюджетів різних рівнів</w:t>
            </w:r>
          </w:p>
        </w:tc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9E60F0" w14:textId="37A97853" w:rsidR="009F5472" w:rsidRPr="00E00286" w:rsidRDefault="00B97A0C" w:rsidP="00AA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</w:t>
            </w:r>
            <w:r w:rsidR="00AA6961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проблема продовжить існувати.</w:t>
            </w:r>
          </w:p>
        </w:tc>
      </w:tr>
      <w:tr w:rsidR="009F5472" w:rsidRPr="00E00286" w14:paraId="1A60DDBD" w14:textId="77777777" w:rsidTr="00DA2059">
        <w:trPr>
          <w:trHeight w:val="3600"/>
          <w:tblCellSpacing w:w="0" w:type="dxa"/>
          <w:jc w:val="center"/>
        </w:trPr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5889E73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869C2" w14:textId="77777777" w:rsidR="009F5472" w:rsidRPr="00E00286" w:rsidRDefault="009F5472" w:rsidP="009F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громадян:</w:t>
            </w:r>
          </w:p>
          <w:p w14:paraId="79FE1C7A" w14:textId="781EA44D" w:rsidR="009F5472" w:rsidRPr="00E00286" w:rsidRDefault="000C7954" w:rsidP="009F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  <w:p w14:paraId="153386B5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EF29E" w14:textId="77777777" w:rsidR="009F5472" w:rsidRPr="00E00286" w:rsidRDefault="009F5472" w:rsidP="009F5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громадян:</w:t>
            </w:r>
          </w:p>
          <w:p w14:paraId="74C39B01" w14:textId="1A082F13" w:rsidR="009F5472" w:rsidRPr="00E00286" w:rsidRDefault="00DC7B4F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Втрата додаткової кількості робочих місць </w:t>
            </w:r>
          </w:p>
        </w:tc>
        <w:tc>
          <w:tcPr>
            <w:tcW w:w="24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F1E599F" w14:textId="77777777" w:rsidR="009F5472" w:rsidRPr="00E00286" w:rsidRDefault="009F5472" w:rsidP="008C194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5472" w:rsidRPr="00E00286" w14:paraId="106783ED" w14:textId="77777777" w:rsidTr="00ED0D4B">
        <w:trPr>
          <w:trHeight w:val="2820"/>
          <w:tblCellSpacing w:w="0" w:type="dxa"/>
          <w:jc w:val="center"/>
        </w:trPr>
        <w:tc>
          <w:tcPr>
            <w:tcW w:w="1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F509E4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9F779A" w14:textId="77777777" w:rsidR="009F5472" w:rsidRPr="00E00286" w:rsidRDefault="009F5472" w:rsidP="009F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47891465" w14:textId="0C917FF8" w:rsidR="009F5472" w:rsidRPr="00E00286" w:rsidRDefault="00D707D3" w:rsidP="00D70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D1C292" w14:textId="77777777" w:rsidR="009F5472" w:rsidRPr="00E00286" w:rsidRDefault="009F5472" w:rsidP="009F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70E032BE" w14:textId="5CE5ADF6" w:rsidR="009F5472" w:rsidRPr="00E00286" w:rsidRDefault="00DC7B4F" w:rsidP="00D20F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Зменшення кількості суб’єктів господарювання, які можуть отримати </w:t>
            </w:r>
            <w:r w:rsidR="00D20F56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фінансову допомогу</w:t>
            </w:r>
          </w:p>
        </w:tc>
        <w:tc>
          <w:tcPr>
            <w:tcW w:w="24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078ADF" w14:textId="77777777" w:rsidR="009F5472" w:rsidRPr="00E00286" w:rsidRDefault="009F5472" w:rsidP="008C194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5472" w:rsidRPr="00E00286" w14:paraId="765D6125" w14:textId="77777777" w:rsidTr="00DA2059">
        <w:trPr>
          <w:trHeight w:val="2976"/>
          <w:tblCellSpacing w:w="0" w:type="dxa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4B0C1AF" w14:textId="48278C5B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2BEF36" w14:textId="77777777" w:rsidR="009F5472" w:rsidRPr="00E00286" w:rsidRDefault="009F5472" w:rsidP="00C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держави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3C0345B2" w14:textId="7B79E583" w:rsidR="009F5472" w:rsidRPr="00E00286" w:rsidRDefault="00B97A0C" w:rsidP="00AA6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Додаткові надходження до міського бюджету.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C6DBFA" w14:textId="77777777" w:rsidR="009F5472" w:rsidRPr="00E00286" w:rsidRDefault="009F5472" w:rsidP="00C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держави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64957F86" w14:textId="2A35BF3E" w:rsidR="009F5472" w:rsidRPr="00E00286" w:rsidRDefault="003E446E" w:rsidP="00ED0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Витрати на реалізацію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відповідно до М-Тесту за перший рік регулювання                </w:t>
            </w:r>
            <w:r w:rsidR="00927405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1 041,60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4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1D03FD32" w14:textId="77777777" w:rsidR="00375BF6" w:rsidRPr="00E00286" w:rsidRDefault="00375BF6" w:rsidP="00375BF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Затвердження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 найбільш прийнятним та ефективним способом, який і дозволить досягти повною мірою цілі державного регулювання, визначеної у розділі ІІ цього аналізу регуляторного впливу.</w:t>
            </w:r>
          </w:p>
          <w:p w14:paraId="3D1518EB" w14:textId="77777777" w:rsidR="00375BF6" w:rsidRPr="00E00286" w:rsidRDefault="00375BF6" w:rsidP="0037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64A2AEB" w14:textId="6D69BA39" w:rsidR="009F5472" w:rsidRPr="00E00286" w:rsidRDefault="00375BF6" w:rsidP="00375BF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Оптимальний варіант збалансування інтересів держави, громадян та суб’єктів господарювання</w:t>
            </w:r>
          </w:p>
        </w:tc>
      </w:tr>
      <w:tr w:rsidR="009F5472" w:rsidRPr="00E00286" w14:paraId="55E588D0" w14:textId="77777777" w:rsidTr="00DA2059">
        <w:trPr>
          <w:trHeight w:val="2840"/>
          <w:tblCellSpacing w:w="0" w:type="dxa"/>
          <w:jc w:val="center"/>
        </w:trPr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084BAF35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1E0D4A" w14:textId="77777777" w:rsidR="00375BF6" w:rsidRPr="00E00286" w:rsidRDefault="00375BF6" w:rsidP="0037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громадян:</w:t>
            </w:r>
          </w:p>
          <w:p w14:paraId="361ED0D5" w14:textId="7A774CD6" w:rsidR="00DC7B4F" w:rsidRPr="00E00286" w:rsidRDefault="00DC7B4F" w:rsidP="00DC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Збільшен</w:t>
            </w:r>
            <w:r w:rsidR="00D20F56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ня кількості отримувачів </w:t>
            </w:r>
            <w:r w:rsidR="00D20F56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фінансової допомоги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573E42DC" w14:textId="77777777" w:rsidR="00DC7B4F" w:rsidRPr="00E00286" w:rsidRDefault="00DC7B4F" w:rsidP="00DC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Збільшення кількості робочих місць.</w:t>
            </w:r>
          </w:p>
          <w:p w14:paraId="5A8D4601" w14:textId="0A97D6B4" w:rsidR="009F5472" w:rsidRPr="00E00286" w:rsidRDefault="00DC7B4F" w:rsidP="00DC7B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Соціалізація та зайнятість киян, які повертаються у мирне життя.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D5A8E3" w14:textId="77777777" w:rsidR="00375BF6" w:rsidRPr="00E00286" w:rsidRDefault="00375BF6" w:rsidP="00375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Для громадян:</w:t>
            </w:r>
          </w:p>
          <w:p w14:paraId="3EBCC8EF" w14:textId="77777777" w:rsidR="00375BF6" w:rsidRPr="00E00286" w:rsidRDefault="00375BF6" w:rsidP="0037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</w:t>
            </w:r>
          </w:p>
          <w:p w14:paraId="78C369F7" w14:textId="77777777" w:rsidR="009F5472" w:rsidRPr="00E00286" w:rsidRDefault="009F5472" w:rsidP="00C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40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BC529E7" w14:textId="77777777" w:rsidR="009F5472" w:rsidRPr="00E00286" w:rsidRDefault="009F5472" w:rsidP="008C194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F5472" w:rsidRPr="00E00286" w14:paraId="18B90FF9" w14:textId="77777777" w:rsidTr="00ED0D4B">
        <w:trPr>
          <w:trHeight w:val="1119"/>
          <w:tblCellSpacing w:w="0" w:type="dxa"/>
          <w:jc w:val="center"/>
        </w:trPr>
        <w:tc>
          <w:tcPr>
            <w:tcW w:w="1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37DF9B" w14:textId="77777777" w:rsidR="009F5472" w:rsidRPr="00E00286" w:rsidRDefault="009F5472" w:rsidP="008C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549E26" w14:textId="77777777" w:rsidR="00375BF6" w:rsidRPr="00E00286" w:rsidRDefault="00375BF6" w:rsidP="0037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178A1D4B" w14:textId="7AF9FC79" w:rsidR="009F5472" w:rsidRPr="00E00286" w:rsidRDefault="00DC7B4F" w:rsidP="00D20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>Збільшується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суб’єктів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>господарювання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отримати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0F56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фінансову допомогу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39B5A2" w14:textId="77777777" w:rsidR="00375BF6" w:rsidRPr="00E00286" w:rsidRDefault="00375BF6" w:rsidP="0037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Для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суб’єктів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господарювання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:</w:t>
            </w:r>
          </w:p>
          <w:p w14:paraId="118AEE03" w14:textId="4D519B28" w:rsidR="009F5472" w:rsidRPr="00E00286" w:rsidRDefault="00DC7B4F" w:rsidP="00ED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Загальна сума витрат суб’єктів господарювання на виконання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становитиме – відповідно до М-Тесту перший рік регулювання                                  </w:t>
            </w:r>
            <w:r w:rsidR="00036FE9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12 960,00 </w:t>
            </w:r>
            <w:r w:rsidR="007D37E6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289293E0" w14:textId="7E51264D" w:rsidR="00ED0D4B" w:rsidRPr="00E00286" w:rsidRDefault="00ED0D4B" w:rsidP="00ED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Витрати великого та середнього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підприємництва за перший рік регулювання− </w:t>
            </w:r>
            <w:r w:rsidR="00516BBB" w:rsidRPr="00852C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516BBB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  <w:r w:rsidR="00516BBB" w:rsidRPr="00852C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23 840</w:t>
            </w:r>
            <w:r w:rsidR="00516BBB"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,00 </w:t>
            </w:r>
            <w:r w:rsidRPr="00E00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24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3FB2BF" w14:textId="77777777" w:rsidR="009F5472" w:rsidRPr="00E00286" w:rsidRDefault="009F5472" w:rsidP="008C194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987A587" w14:textId="77777777" w:rsidR="001B12D7" w:rsidRPr="00E00286" w:rsidRDefault="001B12D7" w:rsidP="00C47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 </w:t>
      </w:r>
    </w:p>
    <w:tbl>
      <w:tblPr>
        <w:tblpPr w:leftFromText="180" w:rightFromText="180" w:vertAnchor="text" w:tblpXSpec="center" w:tblpY="1"/>
        <w:tblOverlap w:val="never"/>
        <w:tblW w:w="9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3593"/>
        <w:gridCol w:w="2784"/>
      </w:tblGrid>
      <w:tr w:rsidR="00DF3CC4" w:rsidRPr="00E00286" w14:paraId="30DB7C5F" w14:textId="77777777" w:rsidTr="001D1764">
        <w:trPr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5E990" w14:textId="77777777" w:rsidR="001B12D7" w:rsidRPr="00E00286" w:rsidRDefault="001B12D7" w:rsidP="001D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DF1A9" w14:textId="77777777" w:rsidR="001B12D7" w:rsidRPr="00E00286" w:rsidRDefault="001B12D7" w:rsidP="001D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Аргументи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переваги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обраної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альтернативи/причини відмови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альтернативи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CAAA6" w14:textId="77777777" w:rsidR="001B12D7" w:rsidRPr="00E00286" w:rsidRDefault="001B12D7" w:rsidP="001D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ризику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зовнішніх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чинників на дію</w:t>
            </w:r>
            <w:r w:rsidR="00410427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запропонованого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DF3CC4" w:rsidRPr="00E00286" w14:paraId="757A1202" w14:textId="77777777" w:rsidTr="001D1764">
        <w:trPr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F08B9" w14:textId="77777777" w:rsidR="001B12D7" w:rsidRPr="00E00286" w:rsidRDefault="001B12D7" w:rsidP="001D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E9498" w14:textId="77777777" w:rsidR="001B12D7" w:rsidRPr="00E00286" w:rsidRDefault="001D1764" w:rsidP="00D1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Причиною відмови є те, що проблема продовжує існувати і не може бути розв’язана оскільки збереження чинного регулювання не дає змоги досягнути </w:t>
            </w:r>
            <w:r w:rsidR="00D16C90"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цілі</w:t>
            </w: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державного регулювання, визначеної у розділі ІІ цього аналізу регуляторного впливу.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780EE" w14:textId="77777777" w:rsidR="001B12D7" w:rsidRPr="00E00286" w:rsidRDefault="001B12D7" w:rsidP="001D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Відсутні.</w:t>
            </w:r>
          </w:p>
        </w:tc>
      </w:tr>
      <w:tr w:rsidR="00DF3CC4" w:rsidRPr="00E00286" w14:paraId="340D2AFB" w14:textId="77777777" w:rsidTr="001D1764">
        <w:trPr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1D7FA" w14:textId="77777777" w:rsidR="001B12D7" w:rsidRPr="00E00286" w:rsidRDefault="001D1764" w:rsidP="001D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77866" w14:textId="11EE68D9" w:rsidR="001B12D7" w:rsidRPr="00E00286" w:rsidRDefault="005C6AF7" w:rsidP="0090426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Причиною відмови є те, що проблема продовжує існувати і не може бути розв’язана оскільки збереження чинного регулювання не дає змоги досягнути цілі державного регулювання, визначеної у розділі ІІ цього аналізу регуляторного впливу.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2AE14" w14:textId="5BF8F3DA" w:rsidR="001B12D7" w:rsidRPr="00E00286" w:rsidRDefault="005C6AF7" w:rsidP="005C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Відсутні.</w:t>
            </w:r>
          </w:p>
        </w:tc>
      </w:tr>
      <w:tr w:rsidR="00375BF6" w:rsidRPr="00E00286" w14:paraId="2642C608" w14:textId="77777777" w:rsidTr="001D1764">
        <w:trPr>
          <w:tblCellSpacing w:w="0" w:type="dxa"/>
        </w:trPr>
        <w:tc>
          <w:tcPr>
            <w:tcW w:w="2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ADFC5" w14:textId="50423128" w:rsidR="00375BF6" w:rsidRPr="00E00286" w:rsidRDefault="00375BF6" w:rsidP="001D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Альтернатива 3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73F1D" w14:textId="7FDF54D0" w:rsidR="00375BF6" w:rsidRPr="00E00286" w:rsidRDefault="004A3A8C" w:rsidP="0090426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Причини для відмови відсутні. Обрана альтернатива є найбільш раціональним варіантом врахування інтересів всіх груп, на яких проблема справляє вплив. Затвердження регуляторного </w:t>
            </w:r>
            <w:proofErr w:type="spellStart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 найбільш прийнятним та ефективним способом, який дозволить досягти повною мірою цілі державного регулювання, визначеної у розділі ІІ цього аналізу регуляторного впливу.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D1E5E" w14:textId="3AD82F8F" w:rsidR="00375BF6" w:rsidRPr="00E00286" w:rsidRDefault="004A3A8C" w:rsidP="001D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002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разі зміни зовнішніх факторів, відповідний регуляторний акт може бути переглянутий</w:t>
            </w:r>
          </w:p>
        </w:tc>
      </w:tr>
    </w:tbl>
    <w:p w14:paraId="7836A071" w14:textId="7A6118B2" w:rsidR="00C47863" w:rsidRPr="00E00286" w:rsidRDefault="00C47863" w:rsidP="00C4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79FD4E3C" w14:textId="77777777" w:rsidR="00ED0D4B" w:rsidRPr="00E00286" w:rsidRDefault="00ED0D4B" w:rsidP="00C4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2B61745" w14:textId="77777777" w:rsidR="001B12D7" w:rsidRPr="00E00286" w:rsidRDefault="001B12D7" w:rsidP="00C4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V. </w:t>
      </w:r>
      <w:r w:rsidR="00866119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Механізм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 заходи, які забезпечать розв’язання визначеної проблеми</w:t>
      </w:r>
    </w:p>
    <w:p w14:paraId="7EA79498" w14:textId="77777777" w:rsidR="002B77A0" w:rsidRPr="00E00286" w:rsidRDefault="002B77A0" w:rsidP="00084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04FA5412" w14:textId="3E801013" w:rsidR="00D20F56" w:rsidRPr="00E00286" w:rsidRDefault="0091470C" w:rsidP="00D20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Для забезпечення</w:t>
      </w:r>
      <w:r w:rsidR="00AA6961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розв’</w:t>
      </w:r>
      <w:r w:rsidR="009B0BDF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язання проблеми передбачено</w:t>
      </w:r>
      <w:r w:rsidR="00E7711C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8E0C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внесення</w:t>
      </w:r>
      <w:r w:rsidR="00AA6961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змін до Положення про фінансово-кредитну підтримку суб'єктів малого та середнього підприємництва у місті Києві,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" w:eastAsia="uk-UA"/>
        </w:rPr>
        <w:t xml:space="preserve"> затвердженого 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рішенням Київської міської ради від 21 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" w:eastAsia="uk-UA"/>
        </w:rPr>
        <w:t>вересня 2017 року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№ 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" w:eastAsia="uk-UA"/>
        </w:rPr>
        <w:t>46/3053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" w:eastAsia="uk-UA"/>
        </w:rPr>
        <w:t>(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зі змінами та доповненнями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" w:eastAsia="uk-UA"/>
        </w:rPr>
        <w:t>)</w:t>
      </w:r>
      <w:r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, яки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м затверджується механізм надання фін</w:t>
      </w:r>
      <w:r w:rsidR="00BA6E0B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ансової допомоги у місті Києві 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на відкритт</w:t>
      </w:r>
      <w:r w:rsidR="00BA6E0B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я або розвиток власного бізнесу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Захисникам та Захисницям України</w:t>
      </w:r>
      <w:r w:rsidR="00D20F56" w:rsidRPr="00E00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та членам їх сімей</w:t>
      </w:r>
      <w:r w:rsidR="00D20F56" w:rsidRPr="00E002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D20F56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(при отриманні кредиту).</w:t>
      </w:r>
    </w:p>
    <w:p w14:paraId="633817E7" w14:textId="3589DD44" w:rsidR="00AA6961" w:rsidRPr="00E00286" w:rsidRDefault="00AA6961" w:rsidP="00084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A4159EF" w14:textId="77777777" w:rsidR="001B12D7" w:rsidRPr="00E00286" w:rsidRDefault="001B12D7" w:rsidP="00577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VІ. Оцінка виконання вимог регуляторного </w:t>
      </w:r>
      <w:proofErr w:type="spellStart"/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5C110CBD" w14:textId="384C10FB" w:rsidR="00577EDA" w:rsidRPr="00E00286" w:rsidRDefault="00577EDA" w:rsidP="00A117F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5228C06" w14:textId="03DC79FB" w:rsidR="00577EDA" w:rsidRPr="00E00286" w:rsidRDefault="00577EDA" w:rsidP="00410D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0286">
        <w:rPr>
          <w:sz w:val="28"/>
          <w:szCs w:val="28"/>
          <w:lang w:val="uk-UA"/>
        </w:rPr>
        <w:t>Враховуючи те, що</w:t>
      </w:r>
      <w:r w:rsidR="00410427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питома вага суб’єктів малого підприємництва (малих та мікропідприємств разом) у загальній</w:t>
      </w:r>
      <w:r w:rsidR="00532AC1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кількості</w:t>
      </w:r>
      <w:r w:rsidR="00532AC1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суб’єктів</w:t>
      </w:r>
      <w:r w:rsidR="00DF3CC4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господарювання, на яких</w:t>
      </w:r>
      <w:r w:rsidR="00DF3CC4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поширюється</w:t>
      </w:r>
      <w:r w:rsidR="00DF3CC4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 xml:space="preserve">регулювання, становить понад </w:t>
      </w:r>
      <w:r w:rsidR="00685994" w:rsidRPr="00E00286">
        <w:rPr>
          <w:sz w:val="28"/>
          <w:szCs w:val="28"/>
          <w:lang w:val="uk-UA"/>
        </w:rPr>
        <w:t>98,5</w:t>
      </w:r>
      <w:r w:rsidR="00410427" w:rsidRPr="00E00286">
        <w:rPr>
          <w:sz w:val="28"/>
          <w:szCs w:val="28"/>
          <w:lang w:val="uk-UA"/>
        </w:rPr>
        <w:t xml:space="preserve"> </w:t>
      </w:r>
      <w:r w:rsidR="00ED0D4B" w:rsidRPr="00E00286">
        <w:rPr>
          <w:sz w:val="28"/>
          <w:szCs w:val="28"/>
          <w:lang w:val="uk-UA"/>
        </w:rPr>
        <w:t>%,</w:t>
      </w:r>
      <w:r w:rsidRPr="00E00286">
        <w:rPr>
          <w:sz w:val="28"/>
          <w:szCs w:val="28"/>
          <w:lang w:val="uk-UA"/>
        </w:rPr>
        <w:t xml:space="preserve"> розрахунок</w:t>
      </w:r>
      <w:r w:rsidR="00410427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витрат на запровадження державного регулювання для суб’єктів малого підприємництва у відповідності до Методики проведення</w:t>
      </w:r>
      <w:r w:rsidR="007946B7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аналізу</w:t>
      </w:r>
      <w:r w:rsidR="007946B7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 xml:space="preserve">впливу регуляторного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>, здійснюва</w:t>
      </w:r>
      <w:r w:rsidR="00ED0D4B" w:rsidRPr="00E00286">
        <w:rPr>
          <w:sz w:val="28"/>
          <w:szCs w:val="28"/>
          <w:lang w:val="uk-UA"/>
        </w:rPr>
        <w:t>вся</w:t>
      </w:r>
      <w:r w:rsidRPr="00E00286">
        <w:rPr>
          <w:sz w:val="28"/>
          <w:szCs w:val="28"/>
          <w:lang w:val="uk-UA"/>
        </w:rPr>
        <w:t xml:space="preserve"> за допомогою</w:t>
      </w:r>
      <w:r w:rsidR="007946B7" w:rsidRPr="00E00286">
        <w:rPr>
          <w:sz w:val="28"/>
          <w:szCs w:val="28"/>
          <w:lang w:val="uk-UA"/>
        </w:rPr>
        <w:t xml:space="preserve"> </w:t>
      </w:r>
      <w:r w:rsidRPr="00E00286">
        <w:rPr>
          <w:sz w:val="28"/>
          <w:szCs w:val="28"/>
          <w:lang w:val="uk-UA"/>
        </w:rPr>
        <w:t>тестування малого підприємництва (М-Тест)</w:t>
      </w:r>
      <w:r w:rsidR="0014552A" w:rsidRPr="00E00286">
        <w:rPr>
          <w:sz w:val="28"/>
          <w:szCs w:val="28"/>
          <w:lang w:val="uk-UA"/>
        </w:rPr>
        <w:t>, що додається.</w:t>
      </w:r>
    </w:p>
    <w:p w14:paraId="57009FA1" w14:textId="77777777" w:rsidR="00C4173B" w:rsidRPr="00E00286" w:rsidRDefault="00C4173B" w:rsidP="00C4173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</w:p>
    <w:p w14:paraId="4DF8C98B" w14:textId="77777777" w:rsidR="001B12D7" w:rsidRPr="00E00286" w:rsidRDefault="001B12D7" w:rsidP="00577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VІІ.</w:t>
      </w:r>
      <w:r w:rsidR="00C07D23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  <w:r w:rsidR="00C07D23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запропонованого строку дії регуляторного </w:t>
      </w:r>
      <w:proofErr w:type="spellStart"/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14:paraId="414ACD27" w14:textId="77777777" w:rsidR="001E3D1B" w:rsidRPr="00E00286" w:rsidRDefault="001E3D1B" w:rsidP="00577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58B31C" w14:textId="77777777" w:rsidR="00C4173B" w:rsidRPr="00E00286" w:rsidRDefault="00C4173B" w:rsidP="00C4173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регуляторного акта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встановлюється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необмежений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 з моменту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набрання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чинності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оскільки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положень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регуляторного акта є </w:t>
      </w:r>
      <w:proofErr w:type="spellStart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постійною</w:t>
      </w:r>
      <w:proofErr w:type="spellEnd"/>
      <w:r w:rsidRPr="00E002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DC1C4D" w14:textId="77777777" w:rsidR="00577EDA" w:rsidRPr="00E00286" w:rsidRDefault="00577EDA" w:rsidP="00577E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 внесенні</w:t>
      </w:r>
      <w:r w:rsidR="00C07D23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змін до чинного законодавства, що</w:t>
      </w:r>
      <w:r w:rsidR="00573922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можуть</w:t>
      </w:r>
      <w:r w:rsidR="00573922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вплинути на дію регуляторного </w:t>
      </w:r>
      <w:proofErr w:type="spellStart"/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акт</w:t>
      </w:r>
      <w:r w:rsidR="0014552A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proofErr w:type="spellEnd"/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до нього</w:t>
      </w:r>
      <w:r w:rsidR="0008461F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будуть</w:t>
      </w:r>
      <w:r w:rsidR="0008461F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внесені</w:t>
      </w:r>
      <w:r w:rsidR="0008461F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відповідні</w:t>
      </w:r>
      <w:r w:rsidR="0008461F"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00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корективи в установленому порядку.</w:t>
      </w:r>
    </w:p>
    <w:p w14:paraId="04369BBB" w14:textId="77777777" w:rsidR="00577EDA" w:rsidRPr="00E00286" w:rsidRDefault="00577EDA" w:rsidP="00577ED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E00FBAC" w14:textId="77777777" w:rsidR="001B12D7" w:rsidRPr="00E00286" w:rsidRDefault="001B12D7" w:rsidP="00577ED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VІІІ. Визначення</w:t>
      </w:r>
      <w:r w:rsidR="0041042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показників</w:t>
      </w:r>
      <w:r w:rsidR="0041042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результативності</w:t>
      </w:r>
      <w:r w:rsidR="0041042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дії регуляторного </w:t>
      </w:r>
      <w:proofErr w:type="spellStart"/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14:paraId="46C3CBCD" w14:textId="4B865252" w:rsidR="001B12D7" w:rsidRPr="00E00286" w:rsidRDefault="009B0BDF" w:rsidP="00410D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1B12D7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оказники</w:t>
      </w:r>
      <w:r w:rsidR="00982233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12D7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результативності регуляторного </w:t>
      </w:r>
      <w:proofErr w:type="spellStart"/>
      <w:r w:rsidR="001B12D7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1B12D7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C5D40C0" w14:textId="73CFD5DC" w:rsidR="00410D6F" w:rsidRPr="00E00286" w:rsidRDefault="00DB5B11" w:rsidP="00410D6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суб’єктів госп</w:t>
      </w:r>
      <w:r w:rsidR="00D26410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одарювання, які отримали фінансову допомогу</w:t>
      </w:r>
      <w:r w:rsidR="008E0C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(буде відомо після прийняття рішення)</w:t>
      </w:r>
      <w:r w:rsidR="009B0BDF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1CE4D18B" w14:textId="38370F07" w:rsidR="008E0CC6" w:rsidRPr="008E0CC6" w:rsidRDefault="009B0BDF" w:rsidP="008E0CC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>Сума</w:t>
      </w:r>
      <w:r w:rsidR="00D26410" w:rsidRPr="00E00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наданої фінансової допомоги</w:t>
      </w:r>
      <w:r w:rsidR="008E0C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0CC6" w:rsidRPr="008E0CC6">
        <w:rPr>
          <w:rFonts w:ascii="Times New Roman" w:eastAsia="Times New Roman" w:hAnsi="Times New Roman" w:cs="Times New Roman"/>
          <w:sz w:val="28"/>
          <w:szCs w:val="28"/>
          <w:lang w:val="uk-UA"/>
        </w:rPr>
        <w:t>(буде відомо після прийняття рішення);</w:t>
      </w:r>
    </w:p>
    <w:p w14:paraId="1F5E859F" w14:textId="0BE2BEC3" w:rsidR="008E0CC6" w:rsidRPr="008E0CC6" w:rsidRDefault="00D26410" w:rsidP="008E0CC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bookmarkStart w:id="12" w:name="1367"/>
      <w:r w:rsidRPr="00E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Обсяг відрахувань отримувачем податків і зборів до державного бюджету та бюджету міста Києва</w:t>
      </w:r>
      <w:r w:rsid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E0CC6" w:rsidRP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(буде відомо після прийняття рішення);</w:t>
      </w:r>
    </w:p>
    <w:p w14:paraId="2F02269A" w14:textId="20A6136D" w:rsidR="008E0CC6" w:rsidRPr="008E0CC6" w:rsidRDefault="00D26410" w:rsidP="008E0CC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bookmarkStart w:id="13" w:name="1368"/>
      <w:bookmarkEnd w:id="12"/>
      <w:r w:rsidRPr="00E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Кількість створених </w:t>
      </w:r>
      <w:r w:rsidR="00685994" w:rsidRPr="00E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отримувачем </w:t>
      </w:r>
      <w:r w:rsidRPr="00E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но</w:t>
      </w:r>
      <w:r w:rsidR="00685994" w:rsidRPr="00E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вих робочих місць</w:t>
      </w:r>
      <w:r w:rsid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E0CC6" w:rsidRP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(буде відомо після прийняття рішення);</w:t>
      </w:r>
    </w:p>
    <w:p w14:paraId="3BFE4582" w14:textId="14BCEDF9" w:rsidR="00D26410" w:rsidRPr="00E00286" w:rsidRDefault="00D26410" w:rsidP="00D26410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</w:p>
    <w:p w14:paraId="2F1EA8EC" w14:textId="46433558" w:rsidR="008E0CC6" w:rsidRPr="008E0CC6" w:rsidRDefault="00D26410" w:rsidP="008E0CC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E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lastRenderedPageBreak/>
        <w:t>Кількість працевлаштованих найманих працівників (в тому числі: осіб з інвалідністю, чоловіків, жінок)</w:t>
      </w:r>
      <w:r w:rsidR="008E0CC6" w:rsidRPr="008E0C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0CC6" w:rsidRP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(буде відомо після прийняття рішення);</w:t>
      </w:r>
    </w:p>
    <w:p w14:paraId="27B2882E" w14:textId="4883EC02" w:rsidR="008E0CC6" w:rsidRPr="008E0CC6" w:rsidRDefault="00D26410" w:rsidP="008E0CC6">
      <w:pPr>
        <w:tabs>
          <w:tab w:val="left" w:pos="9230"/>
          <w:tab w:val="left" w:pos="9372"/>
          <w:tab w:val="left" w:pos="9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E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Р</w:t>
      </w:r>
      <w:r w:rsidRP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озмір заробітної плати працевлаштованих найманих працівників</w:t>
      </w:r>
      <w:r w:rsid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8E0CC6" w:rsidRP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(буде відомо після прийняття рішення)</w:t>
      </w:r>
      <w:r w:rsidR="008E0C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</w:p>
    <w:bookmarkEnd w:id="13"/>
    <w:p w14:paraId="2CF275B0" w14:textId="3DF9760E" w:rsidR="009B0BDF" w:rsidRPr="00E00286" w:rsidRDefault="009B0BDF" w:rsidP="00410D6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Розмір коштів і час, що витрачатимуться суб'єктами господарювання та/або фізичними особами, пов'язаними з виконанням вимог </w:t>
      </w:r>
      <w:proofErr w:type="spellStart"/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акта</w:t>
      </w:r>
      <w:proofErr w:type="spellEnd"/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</w:t>
      </w:r>
      <w:r w:rsidR="0016279F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1 296,00 </w:t>
      </w:r>
      <w:r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грн</w:t>
      </w:r>
      <w:r w:rsidR="00356C11" w:rsidRPr="00852C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/11 </w:t>
      </w:r>
      <w:r w:rsidR="00356C11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год.</w:t>
      </w:r>
      <w:r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одного суб’єкта господарювання</w:t>
      </w:r>
      <w:r w:rsidR="005D5DB0"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малого підприємництва та </w:t>
      </w:r>
      <w:r w:rsidR="00356C11"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356C11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8 256,00 </w:t>
      </w:r>
      <w:r w:rsidR="005D5DB0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грн</w:t>
      </w:r>
      <w:r w:rsidR="00356C11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./172 год.</w:t>
      </w:r>
      <w:r w:rsidR="005D5DB0" w:rsidRPr="00E002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5D5DB0"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A64F2E"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одного суб’єкта </w:t>
      </w:r>
      <w:r w:rsidR="005D5DB0"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великого та середнього підприємництва</w:t>
      </w: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;</w:t>
      </w:r>
    </w:p>
    <w:p w14:paraId="16D4A84D" w14:textId="1690619B" w:rsidR="009B0BDF" w:rsidRPr="00E00286" w:rsidRDefault="009B0BDF" w:rsidP="00410D6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Рівень поінформованості суб'єктів господарювання та/або фізичних осіб з основних положень </w:t>
      </w:r>
      <w:proofErr w:type="spellStart"/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акта</w:t>
      </w:r>
      <w:proofErr w:type="spellEnd"/>
      <w:r w:rsidRPr="00E0028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− середній.</w:t>
      </w:r>
    </w:p>
    <w:p w14:paraId="289F5E69" w14:textId="77777777" w:rsidR="001E3D1B" w:rsidRPr="00E00286" w:rsidRDefault="001E3D1B" w:rsidP="00410D6F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C5F66B1" w14:textId="77777777" w:rsidR="001B12D7" w:rsidRPr="00E00286" w:rsidRDefault="001B12D7" w:rsidP="00577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ІХ. Визначення</w:t>
      </w:r>
      <w:r w:rsidR="007946B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заходів, за допомогою</w:t>
      </w:r>
      <w:r w:rsidR="007946B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яких</w:t>
      </w:r>
      <w:r w:rsidR="007946B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здійснюватиметься</w:t>
      </w:r>
      <w:r w:rsidR="007946B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відстеження</w:t>
      </w:r>
      <w:r w:rsidR="007946B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результативності</w:t>
      </w:r>
      <w:r w:rsidR="007946B7"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дії регуляторного </w:t>
      </w:r>
      <w:proofErr w:type="spellStart"/>
      <w:r w:rsidRPr="00E0028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14:paraId="6DAD1FFD" w14:textId="77777777" w:rsidR="001E3D1B" w:rsidRPr="00E00286" w:rsidRDefault="001E3D1B" w:rsidP="00577E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2E6B86" w14:textId="77777777" w:rsidR="00494AD9" w:rsidRPr="00E00286" w:rsidRDefault="00494AD9" w:rsidP="00410D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0286">
        <w:rPr>
          <w:sz w:val="28"/>
          <w:szCs w:val="28"/>
          <w:lang w:val="uk-UA"/>
        </w:rPr>
        <w:t xml:space="preserve">Відстеження результативності регуляторного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 xml:space="preserve"> буде здійснюватися Департаментом промисловості та розвитку підприємництва виконавчого органу Київської міської ради (Київської міської державної адміністрації) відповідно до вимог статті 10 Закону України «Про засади державної регуляторної політики у сфері господарської діяльності», та Методики відстеження результативності регуляторного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 xml:space="preserve">, затвердженої постановою  Кабінету Міністрів України від 11.03.2004 № 308 «Про затвердження </w:t>
      </w:r>
      <w:proofErr w:type="spellStart"/>
      <w:r w:rsidRPr="00E00286">
        <w:rPr>
          <w:sz w:val="28"/>
          <w:szCs w:val="28"/>
          <w:lang w:val="uk-UA"/>
        </w:rPr>
        <w:t>методик</w:t>
      </w:r>
      <w:proofErr w:type="spellEnd"/>
      <w:r w:rsidRPr="00E00286"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>» (із змінами від 16.12.2015 № 1151).</w:t>
      </w:r>
    </w:p>
    <w:p w14:paraId="45DFBF35" w14:textId="54593021" w:rsidR="00494AD9" w:rsidRPr="00E00286" w:rsidRDefault="003E6C8A" w:rsidP="00410D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0286">
        <w:rPr>
          <w:sz w:val="28"/>
          <w:szCs w:val="28"/>
          <w:lang w:val="uk-UA"/>
        </w:rPr>
        <w:t xml:space="preserve">Оскільки для визначення значень показників результативності регуляторного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 xml:space="preserve"> використовуються виключно статистичні дані, базове відстеження результативності буде здійснене після набрання чинності цим регуляторним актом але не пізніше дня, з якого починається проведення повторного відстеження результативності цього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>.</w:t>
      </w:r>
    </w:p>
    <w:p w14:paraId="7C984291" w14:textId="28AB2347" w:rsidR="00480611" w:rsidRPr="00E00286" w:rsidRDefault="00480611" w:rsidP="00410D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0286">
        <w:rPr>
          <w:sz w:val="28"/>
          <w:szCs w:val="28"/>
          <w:lang w:val="uk-UA"/>
        </w:rPr>
        <w:t xml:space="preserve">Повторне відстеження результативності регуляторного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 xml:space="preserve"> буде проведено через рік з дня набрання чинності цим актом.</w:t>
      </w:r>
    </w:p>
    <w:p w14:paraId="33B731B1" w14:textId="77777777" w:rsidR="00494AD9" w:rsidRPr="00E00286" w:rsidRDefault="00494AD9" w:rsidP="00410D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0286">
        <w:rPr>
          <w:sz w:val="28"/>
          <w:szCs w:val="28"/>
          <w:lang w:val="uk-UA"/>
        </w:rPr>
        <w:t xml:space="preserve">Періодичне відстеження результативності регуляторного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 xml:space="preserve"> буде здійснюватися раз на кожні три роки, починаючи з дня закінчення заходів з повторного відстеження результативності цього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>.</w:t>
      </w:r>
    </w:p>
    <w:p w14:paraId="419A0CD4" w14:textId="15FA1A30" w:rsidR="00577EDA" w:rsidRPr="00E00286" w:rsidRDefault="00494AD9" w:rsidP="00410D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00286">
        <w:rPr>
          <w:sz w:val="28"/>
          <w:szCs w:val="28"/>
          <w:lang w:val="uk-UA"/>
        </w:rPr>
        <w:t xml:space="preserve">Відстеження результативності даного </w:t>
      </w:r>
      <w:proofErr w:type="spellStart"/>
      <w:r w:rsidRPr="00E00286">
        <w:rPr>
          <w:sz w:val="28"/>
          <w:szCs w:val="28"/>
          <w:lang w:val="uk-UA"/>
        </w:rPr>
        <w:t>акта</w:t>
      </w:r>
      <w:proofErr w:type="spellEnd"/>
      <w:r w:rsidRPr="00E00286">
        <w:rPr>
          <w:sz w:val="28"/>
          <w:szCs w:val="28"/>
          <w:lang w:val="uk-UA"/>
        </w:rPr>
        <w:t xml:space="preserve"> буде здійснюватися статистичним методом.</w:t>
      </w:r>
    </w:p>
    <w:p w14:paraId="2F31FC60" w14:textId="60E12815" w:rsidR="001550B1" w:rsidRPr="00E00286" w:rsidRDefault="001550B1" w:rsidP="00494A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8CB8BAA" w14:textId="77777777" w:rsidR="00782440" w:rsidRPr="00E00286" w:rsidRDefault="00782440" w:rsidP="00494AD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C5A3AB7" w14:textId="77777777" w:rsidR="00852CE6" w:rsidRDefault="001E3D1B" w:rsidP="00852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852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2CE6" w:rsidRPr="00852CE6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промисловості </w:t>
      </w:r>
    </w:p>
    <w:p w14:paraId="7EC400D1" w14:textId="77777777" w:rsidR="00852CE6" w:rsidRDefault="00852CE6" w:rsidP="00852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2CE6">
        <w:rPr>
          <w:rFonts w:ascii="Times New Roman" w:hAnsi="Times New Roman" w:cs="Times New Roman"/>
          <w:sz w:val="28"/>
          <w:szCs w:val="28"/>
          <w:lang w:val="uk-UA"/>
        </w:rPr>
        <w:t xml:space="preserve">та розвитку підприємництва виконавчого </w:t>
      </w:r>
    </w:p>
    <w:p w14:paraId="60435EF9" w14:textId="77FCBD90" w:rsidR="00852CE6" w:rsidRPr="00852CE6" w:rsidRDefault="00852CE6" w:rsidP="00852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2CE6">
        <w:rPr>
          <w:rFonts w:ascii="Times New Roman" w:hAnsi="Times New Roman" w:cs="Times New Roman"/>
          <w:sz w:val="28"/>
          <w:szCs w:val="28"/>
          <w:lang w:val="uk-UA"/>
        </w:rPr>
        <w:t>органу Київської міської ради (Київської</w:t>
      </w:r>
    </w:p>
    <w:p w14:paraId="139F4DFA" w14:textId="1FF626F2" w:rsidR="00852CE6" w:rsidRPr="00852CE6" w:rsidRDefault="00852CE6" w:rsidP="00852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2CE6">
        <w:rPr>
          <w:rFonts w:ascii="Times New Roman" w:hAnsi="Times New Roman" w:cs="Times New Roman"/>
          <w:sz w:val="28"/>
          <w:szCs w:val="28"/>
          <w:lang w:val="uk-UA"/>
        </w:rPr>
        <w:t xml:space="preserve">міської державної адміністрації)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E00286">
        <w:rPr>
          <w:rFonts w:ascii="Times New Roman" w:hAnsi="Times New Roman" w:cs="Times New Roman"/>
          <w:sz w:val="28"/>
          <w:szCs w:val="28"/>
          <w:lang w:val="uk-UA"/>
        </w:rPr>
        <w:t>Володимир КОСТІКОВ</w:t>
      </w:r>
    </w:p>
    <w:p w14:paraId="4A462451" w14:textId="43147736" w:rsidR="00317107" w:rsidRPr="000E3242" w:rsidRDefault="00494AD9" w:rsidP="00852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02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2C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E0028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0028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0028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3D1B" w:rsidRPr="00E002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0B657AF6" w14:textId="77777777" w:rsidR="00852CE6" w:rsidRPr="000E3242" w:rsidRDefault="00852C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2CE6" w:rsidRPr="000E3242" w:rsidSect="001550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10E"/>
    <w:multiLevelType w:val="multilevel"/>
    <w:tmpl w:val="E82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1B3C"/>
    <w:multiLevelType w:val="hybridMultilevel"/>
    <w:tmpl w:val="9716A6D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A44E7"/>
    <w:multiLevelType w:val="hybridMultilevel"/>
    <w:tmpl w:val="0CE6497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7138C"/>
    <w:multiLevelType w:val="multilevel"/>
    <w:tmpl w:val="2B2A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331E1"/>
    <w:multiLevelType w:val="multilevel"/>
    <w:tmpl w:val="5512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91583"/>
    <w:multiLevelType w:val="hybridMultilevel"/>
    <w:tmpl w:val="0AB28F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AE"/>
    <w:rsid w:val="000024B7"/>
    <w:rsid w:val="00010EEC"/>
    <w:rsid w:val="000126D1"/>
    <w:rsid w:val="00014CC3"/>
    <w:rsid w:val="000166BD"/>
    <w:rsid w:val="00020E8C"/>
    <w:rsid w:val="00034099"/>
    <w:rsid w:val="00036FE9"/>
    <w:rsid w:val="000711D3"/>
    <w:rsid w:val="0007241C"/>
    <w:rsid w:val="0008461F"/>
    <w:rsid w:val="000963FC"/>
    <w:rsid w:val="000B6DB2"/>
    <w:rsid w:val="000C212E"/>
    <w:rsid w:val="000C67D4"/>
    <w:rsid w:val="000C7954"/>
    <w:rsid w:val="000E3242"/>
    <w:rsid w:val="000F258C"/>
    <w:rsid w:val="000F5B7A"/>
    <w:rsid w:val="001032EE"/>
    <w:rsid w:val="00112088"/>
    <w:rsid w:val="0011715E"/>
    <w:rsid w:val="001210AF"/>
    <w:rsid w:val="00123026"/>
    <w:rsid w:val="00123E25"/>
    <w:rsid w:val="0012534B"/>
    <w:rsid w:val="0013261A"/>
    <w:rsid w:val="00134B81"/>
    <w:rsid w:val="00136182"/>
    <w:rsid w:val="0014152F"/>
    <w:rsid w:val="0014284D"/>
    <w:rsid w:val="0014552A"/>
    <w:rsid w:val="001550B1"/>
    <w:rsid w:val="0016279F"/>
    <w:rsid w:val="00186D05"/>
    <w:rsid w:val="001947A8"/>
    <w:rsid w:val="001B12D7"/>
    <w:rsid w:val="001B1DBA"/>
    <w:rsid w:val="001D10E5"/>
    <w:rsid w:val="001D1117"/>
    <w:rsid w:val="001D1764"/>
    <w:rsid w:val="001D180E"/>
    <w:rsid w:val="001D524B"/>
    <w:rsid w:val="001E3D1B"/>
    <w:rsid w:val="001F0D9B"/>
    <w:rsid w:val="001F5BFE"/>
    <w:rsid w:val="002118A0"/>
    <w:rsid w:val="002128A2"/>
    <w:rsid w:val="0021427B"/>
    <w:rsid w:val="002257C9"/>
    <w:rsid w:val="002310C0"/>
    <w:rsid w:val="00235084"/>
    <w:rsid w:val="00236A0B"/>
    <w:rsid w:val="0025116C"/>
    <w:rsid w:val="00254FFB"/>
    <w:rsid w:val="00271F6A"/>
    <w:rsid w:val="002729E6"/>
    <w:rsid w:val="00277555"/>
    <w:rsid w:val="0029080A"/>
    <w:rsid w:val="00290DA7"/>
    <w:rsid w:val="002A1585"/>
    <w:rsid w:val="002A1ACD"/>
    <w:rsid w:val="002A53BA"/>
    <w:rsid w:val="002B0956"/>
    <w:rsid w:val="002B5366"/>
    <w:rsid w:val="002B77A0"/>
    <w:rsid w:val="002C39C9"/>
    <w:rsid w:val="002C61C5"/>
    <w:rsid w:val="002C7CDB"/>
    <w:rsid w:val="002F0BFB"/>
    <w:rsid w:val="002F0F27"/>
    <w:rsid w:val="00310B37"/>
    <w:rsid w:val="00311BE6"/>
    <w:rsid w:val="0031288C"/>
    <w:rsid w:val="00314E47"/>
    <w:rsid w:val="00316E9B"/>
    <w:rsid w:val="00317107"/>
    <w:rsid w:val="00347633"/>
    <w:rsid w:val="00351197"/>
    <w:rsid w:val="00356C11"/>
    <w:rsid w:val="00370A70"/>
    <w:rsid w:val="003732EB"/>
    <w:rsid w:val="00375BF6"/>
    <w:rsid w:val="003812B7"/>
    <w:rsid w:val="00396930"/>
    <w:rsid w:val="003D0C3C"/>
    <w:rsid w:val="003D26CB"/>
    <w:rsid w:val="003D758A"/>
    <w:rsid w:val="003E446E"/>
    <w:rsid w:val="003E6320"/>
    <w:rsid w:val="003E6C8A"/>
    <w:rsid w:val="003F7644"/>
    <w:rsid w:val="00410427"/>
    <w:rsid w:val="00410D6F"/>
    <w:rsid w:val="00412F6B"/>
    <w:rsid w:val="00441A0F"/>
    <w:rsid w:val="00450499"/>
    <w:rsid w:val="00455299"/>
    <w:rsid w:val="004659E8"/>
    <w:rsid w:val="00465AC9"/>
    <w:rsid w:val="00480611"/>
    <w:rsid w:val="004825ED"/>
    <w:rsid w:val="0048285C"/>
    <w:rsid w:val="00494AD9"/>
    <w:rsid w:val="00494D8A"/>
    <w:rsid w:val="004A0298"/>
    <w:rsid w:val="004A3A8C"/>
    <w:rsid w:val="004A74C6"/>
    <w:rsid w:val="004C02D1"/>
    <w:rsid w:val="004D52FC"/>
    <w:rsid w:val="004E741C"/>
    <w:rsid w:val="00500038"/>
    <w:rsid w:val="00504CA6"/>
    <w:rsid w:val="0050721E"/>
    <w:rsid w:val="0051216A"/>
    <w:rsid w:val="00514332"/>
    <w:rsid w:val="00516BBB"/>
    <w:rsid w:val="0052411F"/>
    <w:rsid w:val="00525CB3"/>
    <w:rsid w:val="00530BF5"/>
    <w:rsid w:val="00532AC1"/>
    <w:rsid w:val="00540170"/>
    <w:rsid w:val="00550256"/>
    <w:rsid w:val="00551A9E"/>
    <w:rsid w:val="00553589"/>
    <w:rsid w:val="00555768"/>
    <w:rsid w:val="00562697"/>
    <w:rsid w:val="0057051E"/>
    <w:rsid w:val="00571223"/>
    <w:rsid w:val="00573922"/>
    <w:rsid w:val="005754E3"/>
    <w:rsid w:val="00577EDA"/>
    <w:rsid w:val="00583C00"/>
    <w:rsid w:val="00596432"/>
    <w:rsid w:val="005B28D9"/>
    <w:rsid w:val="005B3C88"/>
    <w:rsid w:val="005C4945"/>
    <w:rsid w:val="005C5C3C"/>
    <w:rsid w:val="005C6AF7"/>
    <w:rsid w:val="005C6FF2"/>
    <w:rsid w:val="005C7234"/>
    <w:rsid w:val="005C79B3"/>
    <w:rsid w:val="005D5993"/>
    <w:rsid w:val="005D5DB0"/>
    <w:rsid w:val="005E1E35"/>
    <w:rsid w:val="005E2840"/>
    <w:rsid w:val="005F3EE9"/>
    <w:rsid w:val="00611E75"/>
    <w:rsid w:val="0061266A"/>
    <w:rsid w:val="006217FF"/>
    <w:rsid w:val="00621B14"/>
    <w:rsid w:val="00626713"/>
    <w:rsid w:val="0063371F"/>
    <w:rsid w:val="00663F73"/>
    <w:rsid w:val="00664588"/>
    <w:rsid w:val="00672E2F"/>
    <w:rsid w:val="00674257"/>
    <w:rsid w:val="00685994"/>
    <w:rsid w:val="0069427B"/>
    <w:rsid w:val="006A10C0"/>
    <w:rsid w:val="006A557B"/>
    <w:rsid w:val="006C7B41"/>
    <w:rsid w:val="006D5FE1"/>
    <w:rsid w:val="006F1494"/>
    <w:rsid w:val="006F7537"/>
    <w:rsid w:val="0070375F"/>
    <w:rsid w:val="007124D1"/>
    <w:rsid w:val="007603EC"/>
    <w:rsid w:val="00782440"/>
    <w:rsid w:val="00783055"/>
    <w:rsid w:val="00794118"/>
    <w:rsid w:val="007946B7"/>
    <w:rsid w:val="007953D6"/>
    <w:rsid w:val="0079704B"/>
    <w:rsid w:val="007B3D14"/>
    <w:rsid w:val="007B738D"/>
    <w:rsid w:val="007D37E6"/>
    <w:rsid w:val="007D7E9A"/>
    <w:rsid w:val="007F7C4D"/>
    <w:rsid w:val="00804103"/>
    <w:rsid w:val="00814673"/>
    <w:rsid w:val="00823656"/>
    <w:rsid w:val="00830BA6"/>
    <w:rsid w:val="0083711D"/>
    <w:rsid w:val="008455E9"/>
    <w:rsid w:val="00846CD6"/>
    <w:rsid w:val="00847D5C"/>
    <w:rsid w:val="00852CE6"/>
    <w:rsid w:val="00853C22"/>
    <w:rsid w:val="00866119"/>
    <w:rsid w:val="00872034"/>
    <w:rsid w:val="00895F8B"/>
    <w:rsid w:val="00896BD1"/>
    <w:rsid w:val="008A0A61"/>
    <w:rsid w:val="008A0D2D"/>
    <w:rsid w:val="008C1944"/>
    <w:rsid w:val="008E0CC6"/>
    <w:rsid w:val="008E323A"/>
    <w:rsid w:val="008E516B"/>
    <w:rsid w:val="008E638B"/>
    <w:rsid w:val="008F2D6A"/>
    <w:rsid w:val="00904266"/>
    <w:rsid w:val="0091470C"/>
    <w:rsid w:val="0092311F"/>
    <w:rsid w:val="00927396"/>
    <w:rsid w:val="00927405"/>
    <w:rsid w:val="009349EA"/>
    <w:rsid w:val="0095084F"/>
    <w:rsid w:val="00954030"/>
    <w:rsid w:val="0095502B"/>
    <w:rsid w:val="00972D5F"/>
    <w:rsid w:val="009741A5"/>
    <w:rsid w:val="00975EC3"/>
    <w:rsid w:val="00981632"/>
    <w:rsid w:val="00982233"/>
    <w:rsid w:val="009839A7"/>
    <w:rsid w:val="009853DF"/>
    <w:rsid w:val="00996E1D"/>
    <w:rsid w:val="009B0BDF"/>
    <w:rsid w:val="009B19CB"/>
    <w:rsid w:val="009B1D64"/>
    <w:rsid w:val="009B64B5"/>
    <w:rsid w:val="009F5472"/>
    <w:rsid w:val="009F70B5"/>
    <w:rsid w:val="009F76AB"/>
    <w:rsid w:val="00A0494D"/>
    <w:rsid w:val="00A10D7A"/>
    <w:rsid w:val="00A117FF"/>
    <w:rsid w:val="00A150B9"/>
    <w:rsid w:val="00A230F2"/>
    <w:rsid w:val="00A330B5"/>
    <w:rsid w:val="00A64F2E"/>
    <w:rsid w:val="00A74842"/>
    <w:rsid w:val="00A768CA"/>
    <w:rsid w:val="00A92419"/>
    <w:rsid w:val="00AA16F7"/>
    <w:rsid w:val="00AA6961"/>
    <w:rsid w:val="00AB0CA7"/>
    <w:rsid w:val="00AC1160"/>
    <w:rsid w:val="00AE5830"/>
    <w:rsid w:val="00AF6776"/>
    <w:rsid w:val="00B04DED"/>
    <w:rsid w:val="00B66F98"/>
    <w:rsid w:val="00B72CA0"/>
    <w:rsid w:val="00B80EFA"/>
    <w:rsid w:val="00B87CB2"/>
    <w:rsid w:val="00B90630"/>
    <w:rsid w:val="00B97A0C"/>
    <w:rsid w:val="00BA0934"/>
    <w:rsid w:val="00BA6E0B"/>
    <w:rsid w:val="00BB1A97"/>
    <w:rsid w:val="00BE1561"/>
    <w:rsid w:val="00BF0403"/>
    <w:rsid w:val="00BF0EDD"/>
    <w:rsid w:val="00BF266B"/>
    <w:rsid w:val="00BF53E9"/>
    <w:rsid w:val="00C07D23"/>
    <w:rsid w:val="00C119C5"/>
    <w:rsid w:val="00C11AD7"/>
    <w:rsid w:val="00C14768"/>
    <w:rsid w:val="00C17E5D"/>
    <w:rsid w:val="00C21FEF"/>
    <w:rsid w:val="00C4173B"/>
    <w:rsid w:val="00C44990"/>
    <w:rsid w:val="00C47863"/>
    <w:rsid w:val="00C64B43"/>
    <w:rsid w:val="00C82435"/>
    <w:rsid w:val="00C90734"/>
    <w:rsid w:val="00C94954"/>
    <w:rsid w:val="00C969ED"/>
    <w:rsid w:val="00CB00A0"/>
    <w:rsid w:val="00CB0AA2"/>
    <w:rsid w:val="00CC2989"/>
    <w:rsid w:val="00CD6027"/>
    <w:rsid w:val="00CE2FA0"/>
    <w:rsid w:val="00CE6269"/>
    <w:rsid w:val="00CF0B42"/>
    <w:rsid w:val="00CF689E"/>
    <w:rsid w:val="00D06A05"/>
    <w:rsid w:val="00D11988"/>
    <w:rsid w:val="00D16244"/>
    <w:rsid w:val="00D16C90"/>
    <w:rsid w:val="00D20F56"/>
    <w:rsid w:val="00D26410"/>
    <w:rsid w:val="00D26C30"/>
    <w:rsid w:val="00D27BD1"/>
    <w:rsid w:val="00D628C7"/>
    <w:rsid w:val="00D707D3"/>
    <w:rsid w:val="00D87506"/>
    <w:rsid w:val="00D9650A"/>
    <w:rsid w:val="00DA2059"/>
    <w:rsid w:val="00DA5505"/>
    <w:rsid w:val="00DB13A1"/>
    <w:rsid w:val="00DB4F5E"/>
    <w:rsid w:val="00DB5B11"/>
    <w:rsid w:val="00DC0E58"/>
    <w:rsid w:val="00DC7B4F"/>
    <w:rsid w:val="00DD0059"/>
    <w:rsid w:val="00DD019D"/>
    <w:rsid w:val="00DD1104"/>
    <w:rsid w:val="00DE098C"/>
    <w:rsid w:val="00DE2EA1"/>
    <w:rsid w:val="00DF3CC4"/>
    <w:rsid w:val="00E00286"/>
    <w:rsid w:val="00E037DC"/>
    <w:rsid w:val="00E231F4"/>
    <w:rsid w:val="00E30BB0"/>
    <w:rsid w:val="00E34A54"/>
    <w:rsid w:val="00E41B84"/>
    <w:rsid w:val="00E51A6E"/>
    <w:rsid w:val="00E6071A"/>
    <w:rsid w:val="00E70489"/>
    <w:rsid w:val="00E715B2"/>
    <w:rsid w:val="00E74371"/>
    <w:rsid w:val="00E7711C"/>
    <w:rsid w:val="00E86604"/>
    <w:rsid w:val="00E93032"/>
    <w:rsid w:val="00EA24D7"/>
    <w:rsid w:val="00EB1367"/>
    <w:rsid w:val="00EC3E23"/>
    <w:rsid w:val="00ED0148"/>
    <w:rsid w:val="00ED0D4B"/>
    <w:rsid w:val="00EE2A8E"/>
    <w:rsid w:val="00EF2E6B"/>
    <w:rsid w:val="00EF6743"/>
    <w:rsid w:val="00F1267B"/>
    <w:rsid w:val="00F318F2"/>
    <w:rsid w:val="00F356C3"/>
    <w:rsid w:val="00F437EF"/>
    <w:rsid w:val="00F5131B"/>
    <w:rsid w:val="00F72D88"/>
    <w:rsid w:val="00F83D43"/>
    <w:rsid w:val="00F8542A"/>
    <w:rsid w:val="00FB3763"/>
    <w:rsid w:val="00FC2A25"/>
    <w:rsid w:val="00FC2DD8"/>
    <w:rsid w:val="00FC66D2"/>
    <w:rsid w:val="00FC72FC"/>
    <w:rsid w:val="00FD0437"/>
    <w:rsid w:val="00FD47AE"/>
    <w:rsid w:val="00FE1027"/>
    <w:rsid w:val="00FE76AA"/>
    <w:rsid w:val="00FF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B300"/>
  <w15:docId w15:val="{502F77DC-98FF-4C3B-921D-6E887BB1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7B"/>
  </w:style>
  <w:style w:type="paragraph" w:styleId="3">
    <w:name w:val="heading 3"/>
    <w:basedOn w:val="a"/>
    <w:link w:val="30"/>
    <w:uiPriority w:val="9"/>
    <w:qFormat/>
    <w:rsid w:val="0014284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7AE"/>
    <w:rPr>
      <w:b/>
      <w:bCs/>
    </w:rPr>
  </w:style>
  <w:style w:type="paragraph" w:customStyle="1" w:styleId="a00">
    <w:name w:val="a0"/>
    <w:basedOn w:val="a"/>
    <w:rsid w:val="00FD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FD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D47AE"/>
    <w:rPr>
      <w:color w:val="0000FF"/>
      <w:u w:val="single"/>
    </w:rPr>
  </w:style>
  <w:style w:type="paragraph" w:customStyle="1" w:styleId="listparagraph">
    <w:name w:val="listparagraph"/>
    <w:basedOn w:val="a"/>
    <w:rsid w:val="00FD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a"/>
    <w:basedOn w:val="a"/>
    <w:rsid w:val="00FD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E741C"/>
    <w:pPr>
      <w:ind w:left="720"/>
      <w:contextualSpacing/>
    </w:pPr>
  </w:style>
  <w:style w:type="character" w:styleId="a8">
    <w:name w:val="Emphasis"/>
    <w:basedOn w:val="a0"/>
    <w:uiPriority w:val="20"/>
    <w:qFormat/>
    <w:rsid w:val="004A74C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4284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13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D26C3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26C30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54F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4FF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254FF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4FF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254FFB"/>
    <w:rPr>
      <w:b/>
      <w:bCs/>
      <w:sz w:val="20"/>
      <w:szCs w:val="20"/>
    </w:rPr>
  </w:style>
  <w:style w:type="paragraph" w:customStyle="1" w:styleId="docdata">
    <w:name w:val="docdata"/>
    <w:aliases w:val="docy,v5,15097,baiaagaaboqcaaadatmaaau/nwaaaaaaaaaaaaaaaaaaaaaaaaaaaaaaaaaaaaaaaaaaaaaaaaaaaaaaaaaaaaaaaaaaaaaaaaaaaaaaaaaaaaaaaaaaaaaaaaaaaaaaaaaaaaaaaaaaaaaaaaaaaaaaaaaaaaaaaaaaaaaaaaaaaaaaaaaaaaaaaaaaaaaaaaaaaaaaaaaaaaaaaaaaaaaaaaaaaaaaaaaaaaa"/>
    <w:basedOn w:val="a"/>
    <w:rsid w:val="00AC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A63C-8968-4673-ACCD-46865DB2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12575</Words>
  <Characters>7168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Tereschenko</dc:creator>
  <cp:lastModifiedBy>Лобуренко Наталія Олександрівна</cp:lastModifiedBy>
  <cp:revision>17</cp:revision>
  <cp:lastPrinted>2024-08-27T07:36:00Z</cp:lastPrinted>
  <dcterms:created xsi:type="dcterms:W3CDTF">2024-08-27T10:56:00Z</dcterms:created>
  <dcterms:modified xsi:type="dcterms:W3CDTF">2025-02-04T13:14:00Z</dcterms:modified>
</cp:coreProperties>
</file>