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A1C" w:rsidRDefault="002B0B9B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471A1C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:rsidR="00471A1C" w:rsidRPr="002B51A1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>
        <w:rPr>
          <w:rFonts w:ascii="Times New Roman" w:hAnsi="Times New Roman" w:cs="Times New Roman"/>
          <w:sz w:val="28"/>
          <w:szCs w:val="24"/>
        </w:rPr>
        <w:t>я</w:t>
      </w:r>
      <w:r w:rsidRPr="002B51A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en-US"/>
        </w:rPr>
        <w:t>IX</w:t>
      </w:r>
      <w:r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:rsidR="00471A1C" w:rsidRDefault="00471A1C" w:rsidP="00835C24">
      <w:pPr>
        <w:tabs>
          <w:tab w:val="left" w:pos="993"/>
          <w:tab w:val="left" w:pos="4395"/>
        </w:tabs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0"/>
          <w:szCs w:val="24"/>
        </w:rPr>
      </w:pPr>
    </w:p>
    <w:p w:rsidR="00471A1C" w:rsidRDefault="002B0B9B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:rsidR="002C3778" w:rsidRDefault="002C3778" w:rsidP="002C3778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43F8E" w:rsidRPr="002C3778" w:rsidRDefault="002C3778" w:rsidP="002C3778">
      <w:pPr>
        <w:tabs>
          <w:tab w:val="left" w:pos="439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2C377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ПРОЄКТ</w:t>
      </w:r>
    </w:p>
    <w:p w:rsidR="002C3778" w:rsidRDefault="002C3778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84771" w:rsidRDefault="00A84771" w:rsidP="00D57A8E">
      <w:pPr>
        <w:tabs>
          <w:tab w:val="left" w:pos="3969"/>
          <w:tab w:val="left" w:pos="4111"/>
        </w:tabs>
        <w:spacing w:after="0" w:line="240" w:lineRule="auto"/>
        <w:ind w:right="496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Про надання згоди на безоплатну передачу у комунальну власність територіальної громади міста Києва захисних споруд цивільного захисту, які перебувають у державній власності </w:t>
      </w:r>
    </w:p>
    <w:p w:rsidR="00A84771" w:rsidRDefault="00A84771" w:rsidP="00A84771">
      <w:pPr>
        <w:tabs>
          <w:tab w:val="left" w:pos="4395"/>
        </w:tabs>
        <w:spacing w:after="0" w:line="240" w:lineRule="auto"/>
        <w:ind w:right="5244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842C7" w:rsidRDefault="00D57A8E" w:rsidP="00F71980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Відповідно до</w:t>
      </w:r>
      <w:r w:rsidR="009842C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Кодексу цивільного захисту України </w:t>
      </w:r>
      <w:r w:rsidR="00C5163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статті 327 Цивільного кодексу України, пункту 51 частини першої статті 26</w:t>
      </w:r>
      <w:r w:rsidR="00C5163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, </w:t>
      </w:r>
      <w:r w:rsidR="00C5163F" w:rsidRPr="00C5163F">
        <w:t xml:space="preserve"> </w:t>
      </w:r>
      <w:r w:rsidR="00C5163F" w:rsidRPr="00C5163F">
        <w:rPr>
          <w:rFonts w:ascii="Times New Roman" w:hAnsi="Times New Roman" w:cs="Times New Roman"/>
          <w:color w:val="000000" w:themeColor="text1"/>
          <w:sz w:val="28"/>
          <w:szCs w:val="24"/>
        </w:rPr>
        <w:t>підпункту 10 пункту «а» частини першої статті 36</w:t>
      </w:r>
      <w:r w:rsidR="00C5163F" w:rsidRPr="00C5163F">
        <w:rPr>
          <w:rFonts w:ascii="Times New Roman" w:hAnsi="Times New Roman" w:cs="Times New Roman"/>
          <w:color w:val="000000" w:themeColor="text1"/>
          <w:sz w:val="28"/>
          <w:szCs w:val="24"/>
          <w:vertAlign w:val="superscript"/>
        </w:rPr>
        <w:t>1</w:t>
      </w:r>
      <w:r w:rsidR="00A212ED">
        <w:rPr>
          <w:rFonts w:ascii="Times New Roman" w:hAnsi="Times New Roman" w:cs="Times New Roman"/>
          <w:color w:val="000000" w:themeColor="text1"/>
          <w:sz w:val="28"/>
          <w:szCs w:val="24"/>
        </w:rPr>
        <w:t>, частини п’ятої статті 60 Закону України «Про місцеве са</w:t>
      </w:r>
      <w:r w:rsidR="00040D46">
        <w:rPr>
          <w:rFonts w:ascii="Times New Roman" w:hAnsi="Times New Roman" w:cs="Times New Roman"/>
          <w:color w:val="000000" w:themeColor="text1"/>
          <w:sz w:val="28"/>
          <w:szCs w:val="24"/>
        </w:rPr>
        <w:t>моврядування в Україні», статей 4, 7</w:t>
      </w:r>
      <w:r w:rsidR="00A212E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Закону України «</w:t>
      </w:r>
      <w:r w:rsidR="00A212ED" w:rsidRPr="00A212ED">
        <w:rPr>
          <w:rFonts w:ascii="Times New Roman" w:hAnsi="Times New Roman" w:cs="Times New Roman"/>
          <w:color w:val="000000" w:themeColor="text1"/>
          <w:sz w:val="28"/>
          <w:szCs w:val="24"/>
        </w:rPr>
        <w:t>Про передачу об'єктів права державної та комунальної власності</w:t>
      </w:r>
      <w:r w:rsidR="00A212ED">
        <w:rPr>
          <w:rFonts w:ascii="Times New Roman" w:hAnsi="Times New Roman" w:cs="Times New Roman"/>
          <w:color w:val="000000" w:themeColor="text1"/>
          <w:sz w:val="28"/>
          <w:szCs w:val="24"/>
        </w:rPr>
        <w:t>»</w:t>
      </w:r>
      <w:r w:rsidR="0011756B">
        <w:rPr>
          <w:rFonts w:ascii="Times New Roman" w:hAnsi="Times New Roman" w:cs="Times New Roman"/>
          <w:color w:val="000000" w:themeColor="text1"/>
          <w:sz w:val="28"/>
          <w:szCs w:val="24"/>
        </w:rPr>
        <w:t>, абзац</w:t>
      </w:r>
      <w:r w:rsidR="00B679C0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="0011756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четверт</w:t>
      </w:r>
      <w:r w:rsidR="00B679C0">
        <w:rPr>
          <w:rFonts w:ascii="Times New Roman" w:hAnsi="Times New Roman" w:cs="Times New Roman"/>
          <w:color w:val="000000" w:themeColor="text1"/>
          <w:sz w:val="28"/>
          <w:szCs w:val="24"/>
        </w:rPr>
        <w:t>ого</w:t>
      </w:r>
      <w:r w:rsidR="0011756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пункту 5 </w:t>
      </w:r>
      <w:r w:rsidR="00F71980" w:rsidRPr="00F71980">
        <w:rPr>
          <w:rFonts w:ascii="Times New Roman" w:hAnsi="Times New Roman" w:cs="Times New Roman"/>
          <w:color w:val="000000" w:themeColor="text1"/>
          <w:sz w:val="28"/>
          <w:szCs w:val="24"/>
        </w:rPr>
        <w:t>рішення Ради національної безпеки і оборони України від 23 червня 2023 року, введеного в дію Указом Президента України від 26 червня 2023 року № 353/2023</w:t>
      </w:r>
      <w:r w:rsidR="00040D46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D3684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9842C7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враховуючи </w:t>
      </w:r>
      <w:r w:rsidR="002C37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лист Фонду державного майна України від 25 липня 2024 року </w:t>
      </w:r>
      <w:r w:rsidR="00F71980"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="002C3778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№ 10-24-150 ДСК та </w:t>
      </w:r>
      <w:r w:rsidR="002816D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лист Департаменту комунальної власності м. Києва виконавчого органу Київської міської ради (Київської міської державної адміністрації) від 15 січня 2025 року № </w:t>
      </w:r>
      <w:r w:rsidR="002816DF" w:rsidRPr="002816DF">
        <w:rPr>
          <w:rFonts w:ascii="Times New Roman" w:hAnsi="Times New Roman" w:cs="Times New Roman"/>
          <w:color w:val="000000" w:themeColor="text1"/>
          <w:sz w:val="28"/>
          <w:szCs w:val="24"/>
        </w:rPr>
        <w:t>062/06-10-241</w:t>
      </w:r>
      <w:r w:rsidR="0095013A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Київська міська рада </w:t>
      </w:r>
    </w:p>
    <w:p w:rsidR="009842C7" w:rsidRDefault="009842C7" w:rsidP="00C5163F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95013A" w:rsidRPr="00C51CE8" w:rsidRDefault="0095013A" w:rsidP="00835C24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C51CE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ВИРІШИЛА:</w:t>
      </w:r>
    </w:p>
    <w:p w:rsidR="00835C24" w:rsidRDefault="00835C24" w:rsidP="00835C24">
      <w:pPr>
        <w:tabs>
          <w:tab w:val="left" w:pos="382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674933" w:rsidRPr="00F36B40" w:rsidRDefault="00F36B40" w:rsidP="00407879">
      <w:pPr>
        <w:pStyle w:val="a9"/>
        <w:numPr>
          <w:ilvl w:val="0"/>
          <w:numId w:val="4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6B40">
        <w:rPr>
          <w:rFonts w:ascii="Times New Roman" w:hAnsi="Times New Roman" w:cs="Times New Roman"/>
          <w:sz w:val="28"/>
          <w:szCs w:val="28"/>
        </w:rPr>
        <w:t>Надати згоду на безоплатну передачу з державної власності у комунальну власність територіальної громади міста Києва захисних споруд цивільного захисту, які під час приватизації не увійшли до статутних капіталів господарських товариств та перебувають у власності держави України в особі Регіонального відділення Фонду державного майна України по місту Києву, а саме:</w:t>
      </w:r>
    </w:p>
    <w:p w:rsidR="00674933" w:rsidRDefault="00674933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113853 (м. Київ, вул. Богатирська 5);</w:t>
      </w:r>
    </w:p>
    <w:p w:rsidR="00674933" w:rsidRDefault="00674933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114027 (м. Київ, вул. Вербицького 3);</w:t>
      </w:r>
    </w:p>
    <w:p w:rsidR="00674933" w:rsidRDefault="00674933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102718 (м. Київ, вул. Князів Острозьких 23);</w:t>
      </w:r>
    </w:p>
    <w:p w:rsidR="00674933" w:rsidRDefault="00674933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112638 (м. Київ, вул. Порика Василя, 12</w:t>
      </w:r>
      <w:r w:rsidR="001346B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>А);</w:t>
      </w:r>
    </w:p>
    <w:p w:rsidR="00674933" w:rsidRDefault="00E616C9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112460 (м. Київ, вул. Наталії Ужвій, 1);</w:t>
      </w:r>
    </w:p>
    <w:p w:rsidR="00E616C9" w:rsidRDefault="00E616C9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110061 (м. Київ, вул. Миру, 19);</w:t>
      </w:r>
    </w:p>
    <w:p w:rsidR="00E616C9" w:rsidRDefault="00E616C9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сховище № 110048 (м. Київ, вул. Івана Дзюби, 11);</w:t>
      </w:r>
    </w:p>
    <w:p w:rsidR="00E616C9" w:rsidRDefault="00E616C9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108884 (м. Київ, вул. Олеся Гончара, 67);</w:t>
      </w:r>
    </w:p>
    <w:p w:rsidR="00E616C9" w:rsidRDefault="00E616C9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107635 (м. Київ, вул. Салютна, 5);</w:t>
      </w:r>
    </w:p>
    <w:p w:rsidR="00E616C9" w:rsidRDefault="00E616C9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сховище № 107508 (м. Київ, вул. Василя Макуха, 5);</w:t>
      </w:r>
    </w:p>
    <w:p w:rsidR="00E616C9" w:rsidRDefault="00E616C9" w:rsidP="00407879">
      <w:pPr>
        <w:pStyle w:val="a9"/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сховище №100052 </w:t>
      </w:r>
      <w:r w:rsidR="0037369E">
        <w:rPr>
          <w:rFonts w:ascii="Times New Roman" w:hAnsi="Times New Roman" w:cs="Times New Roman"/>
          <w:color w:val="000000" w:themeColor="text1"/>
          <w:sz w:val="28"/>
          <w:szCs w:val="24"/>
        </w:rPr>
        <w:t>(м. Київ, вул. Чернігівська 51).</w:t>
      </w:r>
    </w:p>
    <w:p w:rsidR="0037369E" w:rsidRPr="00452A40" w:rsidRDefault="0037369E" w:rsidP="00452A40">
      <w:pPr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619DD" w:rsidRDefault="00835C24" w:rsidP="00407879">
      <w:pPr>
        <w:pStyle w:val="a9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34A24">
        <w:rPr>
          <w:rFonts w:ascii="Times New Roman" w:hAnsi="Times New Roman" w:cs="Times New Roman"/>
          <w:color w:val="000000" w:themeColor="text1"/>
          <w:sz w:val="28"/>
          <w:szCs w:val="24"/>
        </w:rPr>
        <w:t>Київська міська рада</w:t>
      </w:r>
      <w:r w:rsidR="00B9609B" w:rsidRPr="00034A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зобов’язується використовувати, </w:t>
      </w:r>
      <w:r w:rsidRPr="00034A24">
        <w:rPr>
          <w:rFonts w:ascii="Times New Roman" w:hAnsi="Times New Roman" w:cs="Times New Roman"/>
          <w:color w:val="000000" w:themeColor="text1"/>
          <w:sz w:val="28"/>
          <w:szCs w:val="24"/>
        </w:rPr>
        <w:t>зазначене</w:t>
      </w:r>
      <w:r w:rsidR="00B9609B" w:rsidRPr="00034A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 пункт</w:t>
      </w:r>
      <w:r w:rsidR="00452A40">
        <w:rPr>
          <w:rFonts w:ascii="Times New Roman" w:hAnsi="Times New Roman" w:cs="Times New Roman"/>
          <w:color w:val="000000" w:themeColor="text1"/>
          <w:sz w:val="28"/>
          <w:szCs w:val="24"/>
        </w:rPr>
        <w:t>і</w:t>
      </w:r>
      <w:r w:rsidR="00B9609B" w:rsidRPr="00034A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1</w:t>
      </w:r>
      <w:r w:rsidR="00034A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B9609B" w:rsidRPr="00034A24">
        <w:rPr>
          <w:rFonts w:ascii="Times New Roman" w:hAnsi="Times New Roman" w:cs="Times New Roman"/>
          <w:color w:val="000000" w:themeColor="text1"/>
          <w:sz w:val="28"/>
          <w:szCs w:val="24"/>
        </w:rPr>
        <w:t>цього рішення,</w:t>
      </w:r>
      <w:r w:rsidRPr="00034A24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майно за цільовим призначенням і не відчужувати в приватну власність. </w:t>
      </w:r>
    </w:p>
    <w:p w:rsidR="0037369E" w:rsidRPr="0037369E" w:rsidRDefault="0037369E" w:rsidP="0040787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34A24" w:rsidRPr="00407879" w:rsidRDefault="00C619DD" w:rsidP="00407879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>Виконавчому органу Київської міської ради</w:t>
      </w:r>
      <w:r w:rsidR="00034A24" w:rsidRPr="00407879">
        <w:rPr>
          <w:rFonts w:ascii="Times New Roman" w:hAnsi="Times New Roman" w:cs="Times New Roman"/>
          <w:color w:val="000000" w:themeColor="text1"/>
          <w:sz w:val="28"/>
          <w:szCs w:val="24"/>
        </w:rPr>
        <w:t>:</w:t>
      </w:r>
    </w:p>
    <w:p w:rsidR="00835C24" w:rsidRDefault="00034A24" w:rsidP="00407879">
      <w:pPr>
        <w:pStyle w:val="a9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З</w:t>
      </w:r>
      <w:r w:rsidR="00C619DD"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>дійснити організаційно-правові заходи щодо прийняття об’єкт</w:t>
      </w:r>
      <w:r w:rsidR="00C619DD">
        <w:rPr>
          <w:rFonts w:ascii="Times New Roman" w:hAnsi="Times New Roman" w:cs="Times New Roman"/>
          <w:color w:val="000000" w:themeColor="text1"/>
          <w:sz w:val="28"/>
          <w:szCs w:val="24"/>
        </w:rPr>
        <w:t>ів</w:t>
      </w:r>
      <w:r w:rsidR="00A3478A">
        <w:rPr>
          <w:rFonts w:ascii="Times New Roman" w:hAnsi="Times New Roman" w:cs="Times New Roman"/>
          <w:color w:val="000000" w:themeColor="text1"/>
          <w:sz w:val="28"/>
          <w:szCs w:val="24"/>
        </w:rPr>
        <w:t>, зазначених</w:t>
      </w:r>
      <w:r w:rsidR="00C619DD"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 пункт</w:t>
      </w:r>
      <w:r w:rsidR="00452A40">
        <w:rPr>
          <w:rFonts w:ascii="Times New Roman" w:hAnsi="Times New Roman" w:cs="Times New Roman"/>
          <w:color w:val="000000" w:themeColor="text1"/>
          <w:sz w:val="28"/>
          <w:szCs w:val="24"/>
        </w:rPr>
        <w:t>і</w:t>
      </w:r>
      <w:r w:rsidR="00C619DD"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452A4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1 </w:t>
      </w:r>
      <w:r w:rsidR="00C619DD"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>цього рішення, до комунальної власності територіальної громади міста Києва</w:t>
      </w:r>
      <w:r w:rsidR="00C619D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619DD"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із забезпеченням у подальшому проведення ремонтних робіт та використання </w:t>
      </w:r>
      <w:r w:rsidR="006C2275">
        <w:rPr>
          <w:rFonts w:ascii="Times New Roman" w:hAnsi="Times New Roman" w:cs="Times New Roman"/>
          <w:color w:val="000000" w:themeColor="text1"/>
          <w:sz w:val="28"/>
          <w:szCs w:val="24"/>
        </w:rPr>
        <w:t>їх</w:t>
      </w:r>
      <w:r w:rsidR="00C619DD"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у якості </w:t>
      </w:r>
      <w:r w:rsidR="006C2275">
        <w:rPr>
          <w:rFonts w:ascii="Times New Roman" w:hAnsi="Times New Roman" w:cs="Times New Roman"/>
          <w:color w:val="000000" w:themeColor="text1"/>
          <w:sz w:val="28"/>
          <w:szCs w:val="24"/>
        </w:rPr>
        <w:t>захисних споруд цивільного захисту</w:t>
      </w:r>
      <w:r w:rsidR="0037369E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37369E" w:rsidRPr="00F36B40" w:rsidRDefault="00F36B40" w:rsidP="00F36B40">
      <w:pPr>
        <w:pStyle w:val="a9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F36B4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Визначити Комунальне підприємство «Київжитлоспецексплуатація» балансоутримувачем та закріпити на праві господарського відання за ним захисну споруду цивільного захисту, а саме сховище № 104038 за адресою: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F36B40">
        <w:rPr>
          <w:rFonts w:ascii="Times New Roman" w:hAnsi="Times New Roman" w:cs="Times New Roman"/>
          <w:color w:val="000000" w:themeColor="text1"/>
          <w:sz w:val="28"/>
          <w:szCs w:val="24"/>
        </w:rPr>
        <w:t>м. Київ, вул. Радистів 50</w:t>
      </w:r>
      <w:r w:rsidR="00A36E78" w:rsidRPr="00F36B40">
        <w:rPr>
          <w:rFonts w:ascii="Times New Roman" w:hAnsi="Times New Roman" w:cs="Times New Roman"/>
          <w:color w:val="000000" w:themeColor="text1"/>
          <w:sz w:val="28"/>
          <w:szCs w:val="24"/>
        </w:rPr>
        <w:t>;</w:t>
      </w:r>
    </w:p>
    <w:p w:rsidR="002816DF" w:rsidRPr="00501C90" w:rsidRDefault="002816DF" w:rsidP="00501C90">
      <w:pPr>
        <w:pStyle w:val="a9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501C90">
        <w:rPr>
          <w:rFonts w:ascii="Times New Roman" w:hAnsi="Times New Roman" w:cs="Times New Roman"/>
          <w:color w:val="000000" w:themeColor="text1"/>
          <w:sz w:val="28"/>
          <w:szCs w:val="24"/>
        </w:rPr>
        <w:t>Передбачити у бюджеті міста Києва на 2025 рік та</w:t>
      </w:r>
      <w:r w:rsidR="00501C90" w:rsidRPr="00501C9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подальші роки кошти на заходи із визначення справедливої вартості для відображення у бухгалтерському обліку, проведення ремонтних робіт та подальшого утримання і експлуатації </w:t>
      </w:r>
      <w:r w:rsidR="00501C90">
        <w:rPr>
          <w:rFonts w:ascii="Times New Roman" w:hAnsi="Times New Roman" w:cs="Times New Roman"/>
          <w:color w:val="000000" w:themeColor="text1"/>
          <w:sz w:val="28"/>
          <w:szCs w:val="24"/>
        </w:rPr>
        <w:t>майна, зазначеного у пункт</w:t>
      </w:r>
      <w:r w:rsidR="00452A40">
        <w:rPr>
          <w:rFonts w:ascii="Times New Roman" w:hAnsi="Times New Roman" w:cs="Times New Roman"/>
          <w:color w:val="000000" w:themeColor="text1"/>
          <w:sz w:val="28"/>
          <w:szCs w:val="24"/>
        </w:rPr>
        <w:t>і</w:t>
      </w:r>
      <w:r w:rsidR="00501C9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501C90" w:rsidRPr="00501C90">
        <w:rPr>
          <w:rFonts w:ascii="Times New Roman" w:hAnsi="Times New Roman" w:cs="Times New Roman"/>
          <w:color w:val="000000" w:themeColor="text1"/>
          <w:sz w:val="28"/>
          <w:szCs w:val="24"/>
        </w:rPr>
        <w:t>1</w:t>
      </w:r>
      <w:r w:rsidR="00452A4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501C9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та </w:t>
      </w:r>
      <w:r w:rsidR="00452A40">
        <w:rPr>
          <w:rFonts w:ascii="Times New Roman" w:hAnsi="Times New Roman" w:cs="Times New Roman"/>
          <w:color w:val="000000" w:themeColor="text1"/>
          <w:sz w:val="28"/>
          <w:szCs w:val="24"/>
        </w:rPr>
        <w:t>3</w:t>
      </w:r>
      <w:r w:rsidR="00501C90">
        <w:rPr>
          <w:rFonts w:ascii="Times New Roman" w:hAnsi="Times New Roman" w:cs="Times New Roman"/>
          <w:color w:val="000000" w:themeColor="text1"/>
          <w:sz w:val="28"/>
          <w:szCs w:val="24"/>
        </w:rPr>
        <w:t>.2</w:t>
      </w:r>
      <w:r w:rsidR="00501C90" w:rsidRPr="00501C9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цього рішення</w:t>
      </w:r>
      <w:r w:rsidR="00501C90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091539" w:rsidRDefault="00091539" w:rsidP="00407879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F36B40" w:rsidRPr="00F36B40" w:rsidRDefault="00F36B40" w:rsidP="00F36B40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GoBack"/>
      <w:r w:rsidRPr="00F36B4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В таблиці додатка до рішення Київської міської ради від 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/>
      </w:r>
      <w:r w:rsidRPr="00F36B40">
        <w:rPr>
          <w:rFonts w:ascii="Times New Roman" w:hAnsi="Times New Roman" w:cs="Times New Roman"/>
          <w:color w:val="000000" w:themeColor="text1"/>
          <w:sz w:val="28"/>
          <w:szCs w:val="24"/>
        </w:rPr>
        <w:t>02 грудня 2021 року № 679/3720 «Про відмову в наданні згоди на прийняття до комунальної власності територіальної громади міста Києва та до сфери управління виконавчого органу Київської міської ради (Київської міської державної адміністрації) захисних споруд цивільного за</w:t>
      </w:r>
      <w:r w:rsidR="009D7713">
        <w:rPr>
          <w:rFonts w:ascii="Times New Roman" w:hAnsi="Times New Roman" w:cs="Times New Roman"/>
          <w:color w:val="000000" w:themeColor="text1"/>
          <w:sz w:val="28"/>
          <w:szCs w:val="24"/>
        </w:rPr>
        <w:t>хисту» позиції 4, 5, 20, 24, 35, 44, 50,</w:t>
      </w:r>
      <w:r w:rsidR="00F06916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51, 55, 56 виключити</w:t>
      </w:r>
      <w:bookmarkEnd w:id="0"/>
      <w:r w:rsidR="00F06916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F36B40" w:rsidRDefault="00F36B40" w:rsidP="00407879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091539" w:rsidRDefault="00091539" w:rsidP="00407879">
      <w:pPr>
        <w:pStyle w:val="a9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091539">
        <w:rPr>
          <w:rFonts w:ascii="Times New Roman" w:hAnsi="Times New Roman" w:cs="Times New Roman"/>
          <w:color w:val="000000" w:themeColor="text1"/>
          <w:sz w:val="28"/>
          <w:szCs w:val="24"/>
        </w:rPr>
        <w:t>Офіційно оприлюднити це рішення в установленому порядку.</w:t>
      </w:r>
    </w:p>
    <w:p w:rsidR="00F71980" w:rsidRDefault="00F71980" w:rsidP="00407879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C619DD" w:rsidRDefault="00C619DD" w:rsidP="00407879">
      <w:pPr>
        <w:pStyle w:val="a9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619DD">
        <w:rPr>
          <w:rFonts w:ascii="Times New Roman" w:hAnsi="Times New Roman" w:cs="Times New Roman"/>
          <w:color w:val="000000" w:themeColor="text1"/>
          <w:sz w:val="28"/>
          <w:szCs w:val="24"/>
        </w:rPr>
        <w:t>Контроль за виконанням цього рішення покласти на постійну комісію Київської міської ради з питань власності та регуляторної політики</w:t>
      </w:r>
      <w:r w:rsidR="004078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та п</w:t>
      </w:r>
      <w:r w:rsidR="00407879" w:rsidRPr="00407879">
        <w:rPr>
          <w:rFonts w:ascii="Times New Roman" w:hAnsi="Times New Roman" w:cs="Times New Roman"/>
          <w:color w:val="000000" w:themeColor="text1"/>
          <w:sz w:val="28"/>
          <w:szCs w:val="24"/>
        </w:rPr>
        <w:t>остійн</w:t>
      </w:r>
      <w:r w:rsidR="00407879">
        <w:rPr>
          <w:rFonts w:ascii="Times New Roman" w:hAnsi="Times New Roman" w:cs="Times New Roman"/>
          <w:color w:val="000000" w:themeColor="text1"/>
          <w:sz w:val="28"/>
          <w:szCs w:val="24"/>
        </w:rPr>
        <w:t>у</w:t>
      </w:r>
      <w:r w:rsidR="00407879" w:rsidRPr="00407879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комісія Київської міської ради з питань бюджету, соціально-економічного розвитку та інвестиційної діяльності</w:t>
      </w:r>
      <w:r w:rsidR="00091539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</w:p>
    <w:p w:rsidR="00407879" w:rsidRPr="00407879" w:rsidRDefault="00407879" w:rsidP="00407879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5B47FE" w:rsidRDefault="005B47FE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Київський 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tab/>
        <w:t>Віталій КЛИЧКО</w:t>
      </w:r>
      <w:r>
        <w:rPr>
          <w:rFonts w:ascii="Times New Roman" w:hAnsi="Times New Roman" w:cs="Times New Roman"/>
          <w:color w:val="000000" w:themeColor="text1"/>
          <w:sz w:val="28"/>
          <w:szCs w:val="24"/>
        </w:rPr>
        <w:br w:type="page"/>
      </w:r>
    </w:p>
    <w:p w:rsidR="00F00D15" w:rsidRPr="00F00D15" w:rsidRDefault="00F00D15" w:rsidP="00F00D15">
      <w:pPr>
        <w:tabs>
          <w:tab w:val="left" w:pos="7088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06"/>
        <w:gridCol w:w="4133"/>
      </w:tblGrid>
      <w:tr w:rsidR="00F00D15" w:rsidRPr="00F00D15" w:rsidTr="0015168D">
        <w:trPr>
          <w:trHeight w:val="376"/>
        </w:trPr>
        <w:tc>
          <w:tcPr>
            <w:tcW w:w="550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09"/>
            </w:tblGrid>
            <w:tr w:rsidR="00F00D15" w:rsidRPr="00F00D15" w:rsidTr="00945E00">
              <w:trPr>
                <w:trHeight w:val="230"/>
              </w:trPr>
              <w:tc>
                <w:tcPr>
                  <w:tcW w:w="5109" w:type="dxa"/>
                  <w:shd w:val="clear" w:color="auto" w:fill="auto"/>
                </w:tcPr>
                <w:p w:rsidR="00F00D15" w:rsidRPr="00F00D15" w:rsidRDefault="00F00D15" w:rsidP="00F00D15">
                  <w:pPr>
                    <w:suppressAutoHyphens/>
                    <w:spacing w:after="0" w:line="240" w:lineRule="auto"/>
                    <w:ind w:left="-113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</w:pPr>
                  <w:r w:rsidRPr="00F00D1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uk-UA"/>
                    </w:rPr>
                    <w:br w:type="page"/>
                  </w:r>
                  <w:r w:rsidRPr="00F00D1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 xml:space="preserve">ПОДАННЯ: </w:t>
                  </w:r>
                </w:p>
              </w:tc>
            </w:tr>
            <w:tr w:rsidR="00F00D15" w:rsidRPr="00F00D15" w:rsidTr="00945E00">
              <w:trPr>
                <w:trHeight w:val="70"/>
              </w:trPr>
              <w:tc>
                <w:tcPr>
                  <w:tcW w:w="5109" w:type="dxa"/>
                  <w:shd w:val="clear" w:color="auto" w:fill="auto"/>
                </w:tcPr>
                <w:p w:rsidR="00F00D15" w:rsidRPr="00F00D15" w:rsidRDefault="00F00D15" w:rsidP="00F00D15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</w:pPr>
                </w:p>
              </w:tc>
            </w:tr>
          </w:tbl>
          <w:p w:rsidR="00F00D15" w:rsidRPr="00F00D15" w:rsidRDefault="00F00D15" w:rsidP="00F00D1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15168D" w:rsidRPr="00F00D15" w:rsidTr="0015168D">
        <w:trPr>
          <w:trHeight w:val="376"/>
        </w:trPr>
        <w:tc>
          <w:tcPr>
            <w:tcW w:w="5506" w:type="dxa"/>
            <w:shd w:val="clear" w:color="auto" w:fill="auto"/>
          </w:tcPr>
          <w:p w:rsidR="0015168D" w:rsidRDefault="0015168D" w:rsidP="00672DBA">
            <w:pPr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15168D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Заступник міського голови – секретар Київської міської ради</w:t>
            </w:r>
          </w:p>
          <w:p w:rsidR="0015168D" w:rsidRPr="00F00D15" w:rsidRDefault="0015168D" w:rsidP="00672DBA">
            <w:pPr>
              <w:suppressAutoHyphens/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133" w:type="dxa"/>
            <w:shd w:val="clear" w:color="auto" w:fill="auto"/>
          </w:tcPr>
          <w:p w:rsidR="0015168D" w:rsidRDefault="0015168D" w:rsidP="00F00D1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15168D" w:rsidRPr="00F00D15" w:rsidRDefault="0015168D" w:rsidP="0015168D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15168D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Володимир БОНДАРЕНКО</w:t>
            </w:r>
          </w:p>
        </w:tc>
      </w:tr>
      <w:tr w:rsidR="00F00D15" w:rsidRPr="00F00D15" w:rsidTr="0015168D">
        <w:trPr>
          <w:trHeight w:val="479"/>
        </w:trPr>
        <w:tc>
          <w:tcPr>
            <w:tcW w:w="5506" w:type="dxa"/>
            <w:shd w:val="clear" w:color="auto" w:fill="auto"/>
          </w:tcPr>
          <w:p w:rsidR="00F00D15" w:rsidRPr="0015168D" w:rsidRDefault="0015168D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Директор Департаменту муніципальної безпеки міста Києва</w:t>
            </w: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Роман ТКАЧУК</w:t>
            </w:r>
          </w:p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Pr="00F00D15" w:rsidRDefault="00F00D15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ПОГОДЖЕНО:</w:t>
            </w:r>
          </w:p>
          <w:p w:rsidR="00F00D15" w:rsidRPr="00F00D15" w:rsidRDefault="00F00D15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Default="00F00D15" w:rsidP="00672DBA">
            <w:pPr>
              <w:suppressAutoHyphens/>
              <w:spacing w:after="0" w:line="240" w:lineRule="auto"/>
              <w:ind w:right="-12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остійна комісія Київської міської ради з питань власності</w:t>
            </w:r>
            <w:r w:rsidR="000A1312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та регуляторної політики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8F38E6" w:rsidRPr="00F00D15" w:rsidTr="0015168D">
        <w:tc>
          <w:tcPr>
            <w:tcW w:w="5506" w:type="dxa"/>
            <w:shd w:val="clear" w:color="auto" w:fill="auto"/>
          </w:tcPr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Голова 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8F38E6" w:rsidRDefault="008F38E6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Михайло ПРИСЯЖНЮК</w:t>
            </w: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Pr="00F00D15" w:rsidRDefault="000A1312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Секретар</w:t>
            </w:r>
          </w:p>
          <w:p w:rsidR="00F00D15" w:rsidRPr="00F00D15" w:rsidRDefault="00F00D15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0A1312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Сергій АРТЕМЕНКО</w:t>
            </w: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B9609B" w:rsidRDefault="00B9609B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 w:rsidRPr="00B9609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Постійна комісія Київської міської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 w:rsidRPr="00B9609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ради з питань бюджету, соціально-економічного розвитку та інвестиційної</w:t>
            </w:r>
            <w:r w:rsidR="008F38E6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д</w:t>
            </w:r>
            <w:r w:rsidRPr="00B9609B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іяльності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8F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Голова </w:t>
            </w:r>
          </w:p>
          <w:p w:rsidR="00F00D15" w:rsidRPr="00F00D15" w:rsidRDefault="00F00D15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8F38E6" w:rsidP="008F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Андрій</w:t>
            </w:r>
            <w:r w:rsidR="00F00D15"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ВІТРЕНКО</w:t>
            </w: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Секретар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8F38E6" w:rsidP="008F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Владислав</w:t>
            </w:r>
            <w:r w:rsidR="00F00D15" w:rsidRPr="00F00D15"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АНДРОНОВ</w:t>
            </w:r>
          </w:p>
        </w:tc>
      </w:tr>
      <w:tr w:rsidR="00F00D15" w:rsidRPr="00F00D15" w:rsidTr="0015168D">
        <w:tc>
          <w:tcPr>
            <w:tcW w:w="5506" w:type="dxa"/>
            <w:shd w:val="clear" w:color="auto" w:fill="auto"/>
          </w:tcPr>
          <w:p w:rsid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Начальник управління правового забезпечення діяльності Київської міської ради</w:t>
            </w:r>
          </w:p>
          <w:p w:rsidR="008F38E6" w:rsidRPr="00F00D15" w:rsidRDefault="008F38E6" w:rsidP="00672DB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4133" w:type="dxa"/>
            <w:shd w:val="clear" w:color="auto" w:fill="auto"/>
          </w:tcPr>
          <w:p w:rsidR="00F00D15" w:rsidRPr="00F00D15" w:rsidRDefault="00F00D15" w:rsidP="00F00D15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</w:p>
          <w:p w:rsidR="00F00D15" w:rsidRPr="00F00D15" w:rsidRDefault="008F38E6" w:rsidP="008F38E6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zh-CN"/>
              </w:rPr>
              <w:t>Валентина ПОЛОЖИШНИК</w:t>
            </w:r>
          </w:p>
        </w:tc>
      </w:tr>
    </w:tbl>
    <w:p w:rsidR="00C51CE8" w:rsidRDefault="00C51CE8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45D5F" w:rsidRDefault="00A45D5F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A45D5F" w:rsidRDefault="00A45D5F" w:rsidP="005B47FE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  <w:sectPr w:rsidR="00A45D5F" w:rsidSect="00471A1C">
          <w:type w:val="continuous"/>
          <w:pgSz w:w="11906" w:h="16838"/>
          <w:pgMar w:top="1134" w:right="566" w:bottom="1135" w:left="1701" w:header="708" w:footer="708" w:gutter="0"/>
          <w:cols w:space="708"/>
          <w:formProt w:val="0"/>
          <w:docGrid w:linePitch="360"/>
        </w:sectPr>
      </w:pPr>
    </w:p>
    <w:p w:rsidR="008F38E6" w:rsidRPr="00F00D15" w:rsidRDefault="008F38E6" w:rsidP="004C5E46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sectPr w:rsidR="008F38E6" w:rsidRPr="00F00D15" w:rsidSect="00C51CE8"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643" w:rsidRDefault="00095643">
      <w:pPr>
        <w:spacing w:after="0" w:line="240" w:lineRule="auto"/>
      </w:pPr>
      <w:r>
        <w:separator/>
      </w:r>
    </w:p>
  </w:endnote>
  <w:endnote w:type="continuationSeparator" w:id="0">
    <w:p w:rsidR="00095643" w:rsidRDefault="00095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643" w:rsidRDefault="00095643">
      <w:pPr>
        <w:spacing w:after="0" w:line="240" w:lineRule="auto"/>
      </w:pPr>
      <w:r>
        <w:separator/>
      </w:r>
    </w:p>
  </w:footnote>
  <w:footnote w:type="continuationSeparator" w:id="0">
    <w:p w:rsidR="00095643" w:rsidRDefault="00095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2ACC"/>
    <w:multiLevelType w:val="hybridMultilevel"/>
    <w:tmpl w:val="7272F666"/>
    <w:lvl w:ilvl="0" w:tplc="3EF82A4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164A1F"/>
    <w:multiLevelType w:val="hybridMultilevel"/>
    <w:tmpl w:val="71C2B800"/>
    <w:lvl w:ilvl="0" w:tplc="4F64100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87E12A3"/>
    <w:multiLevelType w:val="multilevel"/>
    <w:tmpl w:val="1742BF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69813584"/>
    <w:multiLevelType w:val="multilevel"/>
    <w:tmpl w:val="238AE4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31"/>
    <w:rsid w:val="000252E7"/>
    <w:rsid w:val="00034A24"/>
    <w:rsid w:val="00040D46"/>
    <w:rsid w:val="000759B1"/>
    <w:rsid w:val="00091539"/>
    <w:rsid w:val="00095643"/>
    <w:rsid w:val="000A1312"/>
    <w:rsid w:val="000C3D34"/>
    <w:rsid w:val="000E77BB"/>
    <w:rsid w:val="0010041F"/>
    <w:rsid w:val="0011756B"/>
    <w:rsid w:val="001346B2"/>
    <w:rsid w:val="00135003"/>
    <w:rsid w:val="0015168D"/>
    <w:rsid w:val="00263365"/>
    <w:rsid w:val="00264212"/>
    <w:rsid w:val="002816DF"/>
    <w:rsid w:val="002B0B9B"/>
    <w:rsid w:val="002B51A1"/>
    <w:rsid w:val="002C3778"/>
    <w:rsid w:val="00314D16"/>
    <w:rsid w:val="0037050B"/>
    <w:rsid w:val="0037369E"/>
    <w:rsid w:val="00407879"/>
    <w:rsid w:val="004079A8"/>
    <w:rsid w:val="00452A40"/>
    <w:rsid w:val="00471A1C"/>
    <w:rsid w:val="00475BAE"/>
    <w:rsid w:val="00483731"/>
    <w:rsid w:val="004B7372"/>
    <w:rsid w:val="004C5E46"/>
    <w:rsid w:val="00501C90"/>
    <w:rsid w:val="005240BD"/>
    <w:rsid w:val="005250F2"/>
    <w:rsid w:val="005470D7"/>
    <w:rsid w:val="00552C0C"/>
    <w:rsid w:val="00572462"/>
    <w:rsid w:val="005B47FE"/>
    <w:rsid w:val="005F3081"/>
    <w:rsid w:val="006373BA"/>
    <w:rsid w:val="00672DBA"/>
    <w:rsid w:val="00674933"/>
    <w:rsid w:val="006C2275"/>
    <w:rsid w:val="006E6BFB"/>
    <w:rsid w:val="006F0664"/>
    <w:rsid w:val="007B1C25"/>
    <w:rsid w:val="00823CF1"/>
    <w:rsid w:val="00835C24"/>
    <w:rsid w:val="00851DD2"/>
    <w:rsid w:val="008C5008"/>
    <w:rsid w:val="008F38E6"/>
    <w:rsid w:val="0095013A"/>
    <w:rsid w:val="009842C7"/>
    <w:rsid w:val="009D7713"/>
    <w:rsid w:val="00A01DAE"/>
    <w:rsid w:val="00A212ED"/>
    <w:rsid w:val="00A25DD2"/>
    <w:rsid w:val="00A3478A"/>
    <w:rsid w:val="00A36E78"/>
    <w:rsid w:val="00A45D5F"/>
    <w:rsid w:val="00A84771"/>
    <w:rsid w:val="00AD7CF1"/>
    <w:rsid w:val="00B00980"/>
    <w:rsid w:val="00B679C0"/>
    <w:rsid w:val="00B9609B"/>
    <w:rsid w:val="00BC7CC0"/>
    <w:rsid w:val="00C04649"/>
    <w:rsid w:val="00C216F9"/>
    <w:rsid w:val="00C4025C"/>
    <w:rsid w:val="00C5163F"/>
    <w:rsid w:val="00C51CE8"/>
    <w:rsid w:val="00C5411A"/>
    <w:rsid w:val="00C619DD"/>
    <w:rsid w:val="00C92FB0"/>
    <w:rsid w:val="00CA4A40"/>
    <w:rsid w:val="00D36846"/>
    <w:rsid w:val="00D57A8E"/>
    <w:rsid w:val="00D93395"/>
    <w:rsid w:val="00DA61A1"/>
    <w:rsid w:val="00E32C58"/>
    <w:rsid w:val="00E616C9"/>
    <w:rsid w:val="00E92580"/>
    <w:rsid w:val="00F00D15"/>
    <w:rsid w:val="00F06916"/>
    <w:rsid w:val="00F36B40"/>
    <w:rsid w:val="00F43F8E"/>
    <w:rsid w:val="00F71980"/>
    <w:rsid w:val="00F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BC60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D3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36846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50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4</Pages>
  <Words>2862</Words>
  <Characters>1632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Куліуш Єгор Вікторович</dc:creator>
  <cp:lastModifiedBy>Тимошенко Олександр Сергійович</cp:lastModifiedBy>
  <cp:revision>37</cp:revision>
  <cp:lastPrinted>2025-01-14T06:47:00Z</cp:lastPrinted>
  <dcterms:created xsi:type="dcterms:W3CDTF">2024-08-02T11:03:00Z</dcterms:created>
  <dcterms:modified xsi:type="dcterms:W3CDTF">2025-01-23T14:48:00Z</dcterms:modified>
</cp:coreProperties>
</file>