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19DE" w14:textId="77777777" w:rsidR="00044204" w:rsidRPr="006C62E6" w:rsidRDefault="00044204" w:rsidP="00E056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62D1D05" w14:textId="70438F86" w:rsidR="00512B64" w:rsidRPr="006C62E6" w:rsidRDefault="00D87F54" w:rsidP="006461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>до проє</w:t>
      </w:r>
      <w:r w:rsidR="00044204" w:rsidRPr="006C62E6">
        <w:rPr>
          <w:rFonts w:ascii="Times New Roman" w:hAnsi="Times New Roman" w:cs="Times New Roman"/>
          <w:sz w:val="28"/>
          <w:szCs w:val="28"/>
        </w:rPr>
        <w:t xml:space="preserve">кту </w:t>
      </w:r>
      <w:r w:rsidR="006B76D5" w:rsidRPr="006C62E6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BA34C4">
        <w:rPr>
          <w:rFonts w:ascii="Times New Roman" w:hAnsi="Times New Roman" w:cs="Times New Roman"/>
          <w:sz w:val="28"/>
          <w:szCs w:val="28"/>
        </w:rPr>
        <w:t xml:space="preserve">Київської міської ради «Про </w:t>
      </w:r>
      <w:r w:rsidR="00646136" w:rsidRPr="006C62E6">
        <w:rPr>
          <w:rFonts w:ascii="Times New Roman" w:hAnsi="Times New Roman" w:cs="Times New Roman"/>
          <w:sz w:val="28"/>
          <w:szCs w:val="28"/>
        </w:rPr>
        <w:t xml:space="preserve">внесення змін </w:t>
      </w:r>
    </w:p>
    <w:p w14:paraId="6EC14B3B" w14:textId="684FB0CC" w:rsidR="00646136" w:rsidRPr="006C62E6" w:rsidRDefault="00512B64" w:rsidP="006461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 xml:space="preserve">до </w:t>
      </w:r>
      <w:r w:rsidR="00646136" w:rsidRPr="006C62E6">
        <w:rPr>
          <w:rFonts w:ascii="Times New Roman" w:hAnsi="Times New Roman" w:cs="Times New Roman"/>
          <w:sz w:val="28"/>
          <w:szCs w:val="28"/>
        </w:rPr>
        <w:t>рішення Київської міської ради  від 2</w:t>
      </w:r>
      <w:r w:rsidRPr="006C62E6">
        <w:rPr>
          <w:rFonts w:ascii="Times New Roman" w:hAnsi="Times New Roman" w:cs="Times New Roman"/>
          <w:sz w:val="28"/>
          <w:szCs w:val="28"/>
        </w:rPr>
        <w:t>0 грудня 2018 року  № 549/6600</w:t>
      </w:r>
      <w:r w:rsidR="00BA34C4">
        <w:rPr>
          <w:rFonts w:ascii="Times New Roman" w:hAnsi="Times New Roman" w:cs="Times New Roman"/>
          <w:sz w:val="28"/>
          <w:szCs w:val="28"/>
        </w:rPr>
        <w:t>»</w:t>
      </w:r>
      <w:r w:rsidRPr="006C62E6">
        <w:rPr>
          <w:rFonts w:ascii="Times New Roman" w:hAnsi="Times New Roman" w:cs="Times New Roman"/>
          <w:sz w:val="28"/>
          <w:szCs w:val="28"/>
        </w:rPr>
        <w:t xml:space="preserve"> </w:t>
      </w:r>
      <w:r w:rsidR="00646136" w:rsidRPr="006C6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A6219" w14:textId="63EE5946" w:rsidR="004B399A" w:rsidRPr="00672039" w:rsidRDefault="004B399A" w:rsidP="00E056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2590E01A" w14:textId="77777777" w:rsidR="001C7EAB" w:rsidRPr="006C62E6" w:rsidRDefault="002E7845" w:rsidP="001C7E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Опис проблем, для вирішення яких підготовлено проєкт рішення, </w:t>
      </w:r>
      <w:r w:rsidR="004502BB" w:rsidRPr="006C62E6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відповідності та достатності передбачених у </w:t>
      </w:r>
      <w:proofErr w:type="spellStart"/>
      <w:r w:rsidRPr="006C62E6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Pr="006C62E6">
        <w:rPr>
          <w:rFonts w:ascii="Times New Roman" w:hAnsi="Times New Roman" w:cs="Times New Roman"/>
          <w:b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</w:t>
      </w:r>
      <w:r w:rsidR="006E4016" w:rsidRPr="006C62E6">
        <w:rPr>
          <w:rFonts w:ascii="Times New Roman" w:hAnsi="Times New Roman" w:cs="Times New Roman"/>
          <w:b/>
          <w:sz w:val="28"/>
          <w:szCs w:val="28"/>
        </w:rPr>
        <w:t>иторіальної громади міста Києва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3A93F1" w14:textId="7D669F1D" w:rsidR="001C7EAB" w:rsidRPr="006C62E6" w:rsidRDefault="001C7EAB" w:rsidP="00003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BA34C4" w:rsidRPr="006C62E6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BA34C4">
        <w:rPr>
          <w:rFonts w:ascii="Times New Roman" w:hAnsi="Times New Roman" w:cs="Times New Roman"/>
          <w:sz w:val="28"/>
          <w:szCs w:val="28"/>
        </w:rPr>
        <w:t xml:space="preserve">Київської міської ради «Про </w:t>
      </w:r>
      <w:r w:rsidR="00BA34C4" w:rsidRPr="006C62E6">
        <w:rPr>
          <w:rFonts w:ascii="Times New Roman" w:hAnsi="Times New Roman" w:cs="Times New Roman"/>
          <w:sz w:val="28"/>
          <w:szCs w:val="28"/>
        </w:rPr>
        <w:t>внесення змін до рішення Київської міської ради  від 20 грудня 2018 року  № 549/6600</w:t>
      </w:r>
      <w:r w:rsidR="00BA34C4">
        <w:rPr>
          <w:rFonts w:ascii="Times New Roman" w:hAnsi="Times New Roman" w:cs="Times New Roman"/>
          <w:sz w:val="28"/>
          <w:szCs w:val="28"/>
        </w:rPr>
        <w:t>»</w:t>
      </w:r>
      <w:r w:rsidR="00BA34C4" w:rsidRPr="006C62E6">
        <w:rPr>
          <w:rFonts w:ascii="Times New Roman" w:hAnsi="Times New Roman" w:cs="Times New Roman"/>
          <w:sz w:val="28"/>
          <w:szCs w:val="28"/>
        </w:rPr>
        <w:t xml:space="preserve"> </w:t>
      </w:r>
      <w:r w:rsidR="00CA448F" w:rsidRPr="006C62E6">
        <w:rPr>
          <w:rFonts w:ascii="Times New Roman" w:hAnsi="Times New Roman" w:cs="Times New Roman"/>
          <w:sz w:val="28"/>
          <w:szCs w:val="28"/>
        </w:rPr>
        <w:t>(далі – проєкт рішення Київради)</w:t>
      </w:r>
      <w:r w:rsidRPr="006C62E6">
        <w:rPr>
          <w:rFonts w:ascii="Times New Roman" w:hAnsi="Times New Roman" w:cs="Times New Roman"/>
          <w:sz w:val="28"/>
          <w:szCs w:val="28"/>
        </w:rPr>
        <w:t xml:space="preserve"> передбачає:  </w:t>
      </w:r>
    </w:p>
    <w:p w14:paraId="1FE4E609" w14:textId="77777777" w:rsidR="00672039" w:rsidRDefault="006274D3" w:rsidP="000D0D6B">
      <w:pPr>
        <w:pStyle w:val="3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1. </w:t>
      </w:r>
      <w:r w:rsidR="0062382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Приведення </w:t>
      </w:r>
      <w:r w:rsidR="0067203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проєкту рішення </w:t>
      </w:r>
      <w:r w:rsidR="0062382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 відповідність до </w:t>
      </w:r>
      <w:r w:rsidR="00DF7A77" w:rsidRPr="006274D3">
        <w:rPr>
          <w:rFonts w:ascii="Times New Roman" w:eastAsiaTheme="minorHAnsi" w:hAnsi="Times New Roman" w:cs="Times New Roman"/>
          <w:color w:val="auto"/>
          <w:sz w:val="28"/>
          <w:szCs w:val="28"/>
        </w:rPr>
        <w:t>рішення Київської міської ради від 16 грудня 2021 року  № 4007/4048 «Про деякі питання проїзду окремих категорій осіб у місті Києві»</w:t>
      </w:r>
      <w:r w:rsidR="0067203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(далі – рішення Київради </w:t>
      </w:r>
      <w:r w:rsidR="00305F1B" w:rsidRPr="006274D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72039" w:rsidRPr="006274D3">
        <w:rPr>
          <w:rFonts w:ascii="Times New Roman" w:eastAsiaTheme="minorHAnsi" w:hAnsi="Times New Roman" w:cs="Times New Roman"/>
          <w:color w:val="auto"/>
          <w:sz w:val="28"/>
          <w:szCs w:val="28"/>
        </w:rPr>
        <w:t>№ 4007/4048</w:t>
      </w:r>
      <w:r w:rsidR="00672039">
        <w:rPr>
          <w:rFonts w:ascii="Times New Roman" w:eastAsiaTheme="minorHAnsi" w:hAnsi="Times New Roman" w:cs="Times New Roman"/>
          <w:color w:val="auto"/>
          <w:sz w:val="28"/>
          <w:szCs w:val="28"/>
        </w:rPr>
        <w:t>).</w:t>
      </w:r>
    </w:p>
    <w:p w14:paraId="18C10E3C" w14:textId="24EABCB0" w:rsidR="00672039" w:rsidRDefault="00672039" w:rsidP="000D0D6B">
      <w:pPr>
        <w:pStyle w:val="3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Враховуючи, що рішенням Київради  № 4007/4048 визначено </w:t>
      </w:r>
      <w:r w:rsidR="001C5EE0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категорії осіб</w:t>
      </w:r>
      <w:r w:rsidR="001C5EE0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яким надано право пільгового проїзду,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руху, а облік оплати зазначених пільг здійснюється АСОП шляхом активації носія електронного квитка у формі багатофункціональна електронна картка «Муніципальна картка «Картка киянина» (далі – Муніципальна картка «Картка киянина»), </w:t>
      </w:r>
      <w:proofErr w:type="spellStart"/>
      <w:r w:rsidR="00847F3B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проєктом</w:t>
      </w:r>
      <w:proofErr w:type="spellEnd"/>
      <w:r w:rsidR="00847F3B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рішення </w:t>
      </w:r>
      <w:r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визначено, що утримувачами Муніципальна картка «Картка киянина» є «особи» (замість «громадяни») та уточнено їх категорії.</w:t>
      </w:r>
    </w:p>
    <w:p w14:paraId="69B9DFAD" w14:textId="7A1979C0" w:rsidR="00D42147" w:rsidRPr="006C62E6" w:rsidRDefault="00BB0A97" w:rsidP="00315D8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2. У</w:t>
      </w:r>
      <w:r w:rsidR="00E81592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точнен</w:t>
      </w:r>
      <w:r w:rsidR="009C7373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ня повноважень</w:t>
      </w:r>
      <w:r w:rsidR="00E81592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Департаменту соціальної політики виконавчого органу Київської міської ради (Київської міської державної адміністрації) та управлінь соціального захисту населення районних в місті Києві державних адміністрацій щодо ідентифікації категорій осіб</w:t>
      </w:r>
      <w:r w:rsidR="008E79B8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, яким видається М</w:t>
      </w:r>
      <w:r w:rsidR="0040265D" w:rsidRPr="00315D82">
        <w:rPr>
          <w:rFonts w:ascii="Times New Roman" w:eastAsiaTheme="minorHAnsi" w:hAnsi="Times New Roman" w:cs="Times New Roman"/>
          <w:color w:val="auto"/>
          <w:sz w:val="28"/>
          <w:szCs w:val="28"/>
        </w:rPr>
        <w:t>уніципальна картка «Картка киянина».</w:t>
      </w:r>
      <w:r w:rsidR="0040265D" w:rsidRPr="006C6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A1152" w14:textId="182E3E3E" w:rsidR="0040265D" w:rsidRPr="006C62E6" w:rsidRDefault="00BB0A97" w:rsidP="004026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ня термінології </w:t>
      </w:r>
      <w:r w:rsidR="0040265D" w:rsidRPr="006C62E6">
        <w:rPr>
          <w:rFonts w:ascii="Times New Roman" w:hAnsi="Times New Roman" w:cs="Times New Roman"/>
          <w:sz w:val="28"/>
          <w:szCs w:val="28"/>
        </w:rPr>
        <w:t>у від</w:t>
      </w:r>
      <w:r w:rsidR="00963EAF" w:rsidRPr="006C62E6">
        <w:rPr>
          <w:rFonts w:ascii="Times New Roman" w:hAnsi="Times New Roman" w:cs="Times New Roman"/>
          <w:sz w:val="28"/>
          <w:szCs w:val="28"/>
        </w:rPr>
        <w:t>повідність до законів</w:t>
      </w:r>
      <w:r w:rsidR="0040265D" w:rsidRPr="006C62E6">
        <w:rPr>
          <w:rFonts w:ascii="Times New Roman" w:hAnsi="Times New Roman" w:cs="Times New Roman"/>
          <w:sz w:val="28"/>
          <w:szCs w:val="28"/>
        </w:rPr>
        <w:t xml:space="preserve"> України «Про захист інформації в інформ</w:t>
      </w:r>
      <w:r w:rsidR="00CA448F" w:rsidRPr="006C62E6">
        <w:rPr>
          <w:rFonts w:ascii="Times New Roman" w:hAnsi="Times New Roman" w:cs="Times New Roman"/>
          <w:sz w:val="28"/>
          <w:szCs w:val="28"/>
        </w:rPr>
        <w:t xml:space="preserve">аційно-комунікаційних системах», </w:t>
      </w:r>
      <w:r w:rsidR="00963EAF" w:rsidRPr="006C62E6">
        <w:rPr>
          <w:rFonts w:ascii="Times New Roman" w:hAnsi="Times New Roman" w:cs="Times New Roman"/>
          <w:sz w:val="28"/>
          <w:szCs w:val="28"/>
        </w:rPr>
        <w:t>«Про надання публічних (електронних публічних) послуг щодо декларування та реєстрації місця проживання в Україні», «Про публічні електронні реєстри»</w:t>
      </w:r>
      <w:r w:rsidR="0040265D" w:rsidRPr="006C62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91F11D" w14:textId="0AE4E8EC" w:rsidR="00A8218E" w:rsidRPr="006C62E6" w:rsidRDefault="00BB0A97" w:rsidP="008E79B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65D" w:rsidRPr="006C62E6">
        <w:rPr>
          <w:sz w:val="28"/>
          <w:szCs w:val="28"/>
        </w:rPr>
        <w:t xml:space="preserve">. </w:t>
      </w:r>
      <w:r>
        <w:rPr>
          <w:sz w:val="28"/>
          <w:szCs w:val="28"/>
        </w:rPr>
        <w:t>Викладення у</w:t>
      </w:r>
      <w:r w:rsidR="00A8218E" w:rsidRPr="006C62E6">
        <w:rPr>
          <w:sz w:val="28"/>
          <w:szCs w:val="28"/>
        </w:rPr>
        <w:t xml:space="preserve"> новій редакції</w:t>
      </w:r>
      <w:r w:rsidR="00162C35">
        <w:rPr>
          <w:sz w:val="28"/>
          <w:szCs w:val="28"/>
        </w:rPr>
        <w:t xml:space="preserve"> Положення</w:t>
      </w:r>
      <w:r w:rsidR="00A8218E" w:rsidRPr="006C62E6">
        <w:rPr>
          <w:sz w:val="28"/>
          <w:szCs w:val="28"/>
        </w:rPr>
        <w:t xml:space="preserve"> про багатофункціональну електронну картку «Муніци</w:t>
      </w:r>
      <w:r w:rsidR="007353DC">
        <w:rPr>
          <w:sz w:val="28"/>
          <w:szCs w:val="28"/>
        </w:rPr>
        <w:t>пальна картка «Картка киянина».</w:t>
      </w:r>
    </w:p>
    <w:p w14:paraId="54C8014C" w14:textId="1A187471" w:rsidR="005B50D0" w:rsidRPr="006C62E6" w:rsidRDefault="00BB0A97" w:rsidP="00A82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Викладення у</w:t>
      </w:r>
      <w:r w:rsidR="007F6883" w:rsidRPr="006C62E6">
        <w:rPr>
          <w:rFonts w:ascii="Times New Roman" w:hAnsi="Times New Roman" w:cs="Times New Roman"/>
          <w:sz w:val="28"/>
          <w:szCs w:val="28"/>
        </w:rPr>
        <w:t xml:space="preserve"> новій редакції </w:t>
      </w:r>
      <w:r w:rsidR="00162C35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8E79B8" w:rsidRPr="006C62E6">
        <w:rPr>
          <w:rFonts w:ascii="Times New Roman" w:hAnsi="Times New Roman" w:cs="Times New Roman"/>
          <w:sz w:val="28"/>
          <w:szCs w:val="28"/>
        </w:rPr>
        <w:t>про інформаційно-</w:t>
      </w:r>
      <w:r w:rsidR="007F6883" w:rsidRPr="006C62E6">
        <w:rPr>
          <w:rFonts w:ascii="Times New Roman" w:hAnsi="Times New Roman" w:cs="Times New Roman"/>
          <w:sz w:val="28"/>
          <w:szCs w:val="28"/>
        </w:rPr>
        <w:t>комунікаційну систему «Реєстр утримувачів багатофункціональної електронної картки «Муніципальна картка «Картка киянина»</w:t>
      </w:r>
      <w:r w:rsidR="00A8218E" w:rsidRPr="006C62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AE3D7" w14:textId="5D18A81B" w:rsidR="005144C8" w:rsidRPr="006C62E6" w:rsidRDefault="00BB0A97" w:rsidP="003F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розгляду, </w:t>
      </w:r>
      <w:r w:rsidRPr="006C62E6">
        <w:rPr>
          <w:rFonts w:ascii="Times New Roman" w:hAnsi="Times New Roman" w:cs="Times New Roman"/>
          <w:sz w:val="28"/>
          <w:szCs w:val="28"/>
        </w:rPr>
        <w:t>проєкт рішення Київради</w:t>
      </w:r>
      <w:r>
        <w:rPr>
          <w:rFonts w:ascii="Times New Roman" w:hAnsi="Times New Roman" w:cs="Times New Roman"/>
          <w:sz w:val="28"/>
          <w:szCs w:val="28"/>
        </w:rPr>
        <w:t xml:space="preserve"> погоджений </w:t>
      </w:r>
      <w:r w:rsidR="00560CB3" w:rsidRPr="006C62E6">
        <w:rPr>
          <w:rFonts w:ascii="Times New Roman" w:hAnsi="Times New Roman" w:cs="Times New Roman"/>
          <w:sz w:val="28"/>
          <w:szCs w:val="28"/>
        </w:rPr>
        <w:t>районни</w:t>
      </w:r>
      <w:r w:rsidR="005144C8" w:rsidRPr="006C62E6">
        <w:rPr>
          <w:rFonts w:ascii="Times New Roman" w:hAnsi="Times New Roman" w:cs="Times New Roman"/>
          <w:sz w:val="28"/>
          <w:szCs w:val="28"/>
        </w:rPr>
        <w:t>ми</w:t>
      </w:r>
      <w:r w:rsidR="00560CB3" w:rsidRPr="006C62E6">
        <w:rPr>
          <w:rFonts w:ascii="Times New Roman" w:hAnsi="Times New Roman" w:cs="Times New Roman"/>
          <w:sz w:val="28"/>
          <w:szCs w:val="28"/>
        </w:rPr>
        <w:t xml:space="preserve"> в місті Києві держа</w:t>
      </w:r>
      <w:r w:rsidR="005144C8" w:rsidRPr="006C62E6">
        <w:rPr>
          <w:rFonts w:ascii="Times New Roman" w:hAnsi="Times New Roman" w:cs="Times New Roman"/>
          <w:sz w:val="28"/>
          <w:szCs w:val="28"/>
        </w:rPr>
        <w:t>вними адміністраціями</w:t>
      </w:r>
      <w:r>
        <w:rPr>
          <w:rFonts w:ascii="Times New Roman" w:hAnsi="Times New Roman" w:cs="Times New Roman"/>
          <w:sz w:val="28"/>
          <w:szCs w:val="28"/>
        </w:rPr>
        <w:t xml:space="preserve"> без зауважень (лист </w:t>
      </w:r>
      <w:r w:rsidRPr="006C62E6">
        <w:rPr>
          <w:rFonts w:ascii="Times New Roman" w:hAnsi="Times New Roman" w:cs="Times New Roman"/>
          <w:sz w:val="28"/>
          <w:szCs w:val="28"/>
        </w:rPr>
        <w:t xml:space="preserve">Департаменту соціальної політики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</w:rPr>
        <w:t xml:space="preserve">від 03.02.2023 № 051-124). </w:t>
      </w:r>
    </w:p>
    <w:p w14:paraId="06346AC7" w14:textId="0E437A16" w:rsidR="00AD6112" w:rsidRPr="006C62E6" w:rsidRDefault="00963EAF" w:rsidP="003F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E6">
        <w:rPr>
          <w:rFonts w:ascii="Times New Roman" w:hAnsi="Times New Roman" w:cs="Times New Roman"/>
          <w:sz w:val="28"/>
          <w:szCs w:val="28"/>
        </w:rPr>
        <w:t xml:space="preserve">Проєкт рішення Київради </w:t>
      </w:r>
      <w:r w:rsidR="00B97B18" w:rsidRPr="006C62E6">
        <w:rPr>
          <w:rFonts w:ascii="Times New Roman" w:hAnsi="Times New Roman" w:cs="Times New Roman"/>
          <w:sz w:val="28"/>
          <w:szCs w:val="28"/>
        </w:rPr>
        <w:t>не є регуляторним</w:t>
      </w:r>
      <w:r w:rsidR="00AD6112" w:rsidRPr="006C62E6">
        <w:rPr>
          <w:rFonts w:ascii="Times New Roman" w:hAnsi="Times New Roman" w:cs="Times New Roman"/>
          <w:sz w:val="28"/>
          <w:szCs w:val="28"/>
        </w:rPr>
        <w:t xml:space="preserve"> актом та не підпадає під дію Закону </w:t>
      </w:r>
      <w:r w:rsidR="00AD6112" w:rsidRPr="006C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«Про засади державної регуляторної політики у сфері господарської діяльності». </w:t>
      </w:r>
    </w:p>
    <w:p w14:paraId="5D90C96B" w14:textId="3E24743C" w:rsidR="00560CB3" w:rsidRPr="006C62E6" w:rsidRDefault="001F1836" w:rsidP="003F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 xml:space="preserve">З метою інформування громадськості, </w:t>
      </w:r>
      <w:r w:rsidR="00AD6112" w:rsidRPr="006C62E6">
        <w:rPr>
          <w:rFonts w:ascii="Times New Roman" w:hAnsi="Times New Roman" w:cs="Times New Roman"/>
          <w:sz w:val="28"/>
          <w:szCs w:val="28"/>
        </w:rPr>
        <w:t xml:space="preserve">02 лютого 2023 року </w:t>
      </w:r>
      <w:r w:rsidR="00963EAF" w:rsidRPr="006C62E6">
        <w:rPr>
          <w:rFonts w:ascii="Times New Roman" w:hAnsi="Times New Roman" w:cs="Times New Roman"/>
          <w:sz w:val="28"/>
          <w:szCs w:val="28"/>
        </w:rPr>
        <w:t xml:space="preserve">проєкт рішення Київради </w:t>
      </w:r>
      <w:r w:rsidR="00AD6112" w:rsidRPr="006C62E6">
        <w:rPr>
          <w:rFonts w:ascii="Times New Roman" w:hAnsi="Times New Roman" w:cs="Times New Roman"/>
          <w:sz w:val="28"/>
          <w:szCs w:val="28"/>
        </w:rPr>
        <w:t>оприлюднено на офіційному порталі міста Києва у розділі «Публічна інформація» вкладка «Проєкти нормат</w:t>
      </w:r>
      <w:r w:rsidRPr="006C62E6">
        <w:rPr>
          <w:rFonts w:ascii="Times New Roman" w:hAnsi="Times New Roman" w:cs="Times New Roman"/>
          <w:sz w:val="28"/>
          <w:szCs w:val="28"/>
        </w:rPr>
        <w:t xml:space="preserve">ивно-правових та інших актів». </w:t>
      </w:r>
    </w:p>
    <w:p w14:paraId="5F34CA86" w14:textId="3DBF41F8" w:rsidR="009D5441" w:rsidRPr="006C62E6" w:rsidRDefault="006D0B83" w:rsidP="00E05690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lastRenderedPageBreak/>
        <w:t>Правов</w:t>
      </w:r>
      <w:r w:rsidR="002E7845" w:rsidRPr="006C62E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2552C" w:rsidRPr="006C62E6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2E7845" w:rsidRPr="006C62E6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 Київської міської ради </w:t>
      </w:r>
      <w:r w:rsidRPr="006C62E6">
        <w:rPr>
          <w:rFonts w:ascii="Times New Roman" w:eastAsia="Calibri" w:hAnsi="Times New Roman" w:cs="Times New Roman"/>
          <w:b/>
          <w:sz w:val="28"/>
          <w:szCs w:val="28"/>
        </w:rPr>
        <w:t>(з посиланням на конкретні положення нормативно-правових актів, на підставі й на виконання яких підготовлено проєкт рішення).</w:t>
      </w:r>
    </w:p>
    <w:p w14:paraId="202A3543" w14:textId="0B494B21" w:rsidR="0037360B" w:rsidRPr="006C62E6" w:rsidRDefault="00963EAF" w:rsidP="0037360B">
      <w:pPr>
        <w:pStyle w:val="tc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6C62E6">
        <w:rPr>
          <w:color w:val="000000" w:themeColor="text1"/>
          <w:sz w:val="28"/>
          <w:szCs w:val="28"/>
          <w:lang w:eastAsia="ru-RU"/>
        </w:rPr>
        <w:t xml:space="preserve">Проєкт рішення Київради </w:t>
      </w:r>
      <w:r w:rsidR="0037360B" w:rsidRPr="006C62E6">
        <w:rPr>
          <w:color w:val="000000" w:themeColor="text1"/>
          <w:sz w:val="28"/>
          <w:szCs w:val="28"/>
          <w:lang w:eastAsia="ru-RU"/>
        </w:rPr>
        <w:t>розроблене відповідно до вимог </w:t>
      </w:r>
      <w:hyperlink r:id="rId6" w:tgtFrame="_blank" w:history="1">
        <w:r w:rsidR="0037360B" w:rsidRPr="006C62E6">
          <w:rPr>
            <w:color w:val="000000" w:themeColor="text1"/>
            <w:sz w:val="28"/>
            <w:szCs w:val="28"/>
            <w:lang w:eastAsia="ru-RU"/>
          </w:rPr>
          <w:t>законів України «Про місцеве самоврядування в Україні</w:t>
        </w:r>
      </w:hyperlink>
      <w:r w:rsidR="0037360B" w:rsidRPr="006C62E6">
        <w:rPr>
          <w:color w:val="000000" w:themeColor="text1"/>
          <w:sz w:val="28"/>
          <w:szCs w:val="28"/>
          <w:lang w:eastAsia="ru-RU"/>
        </w:rPr>
        <w:t>», </w:t>
      </w:r>
      <w:hyperlink r:id="rId7" w:tgtFrame="_blank" w:history="1">
        <w:r w:rsidR="0037360B" w:rsidRPr="006C62E6">
          <w:rPr>
            <w:color w:val="000000" w:themeColor="text1"/>
            <w:sz w:val="28"/>
            <w:szCs w:val="28"/>
            <w:lang w:eastAsia="ru-RU"/>
          </w:rPr>
          <w:t>«Про державні соціальні стандарти та державні соціальні гарантії</w:t>
        </w:r>
      </w:hyperlink>
      <w:r w:rsidR="0037360B" w:rsidRPr="006C62E6">
        <w:rPr>
          <w:color w:val="000000" w:themeColor="text1"/>
          <w:sz w:val="28"/>
          <w:szCs w:val="28"/>
          <w:lang w:eastAsia="ru-RU"/>
        </w:rPr>
        <w:t>», </w:t>
      </w:r>
      <w:hyperlink r:id="rId8" w:tgtFrame="_blank" w:history="1">
        <w:r w:rsidR="0037360B" w:rsidRPr="006C62E6">
          <w:rPr>
            <w:color w:val="000000" w:themeColor="text1"/>
            <w:sz w:val="28"/>
            <w:szCs w:val="28"/>
            <w:lang w:eastAsia="ru-RU"/>
          </w:rPr>
          <w:t>«Про інформацію</w:t>
        </w:r>
      </w:hyperlink>
      <w:r w:rsidR="0037360B" w:rsidRPr="006C62E6">
        <w:rPr>
          <w:color w:val="000000" w:themeColor="text1"/>
          <w:sz w:val="28"/>
          <w:szCs w:val="28"/>
          <w:lang w:eastAsia="ru-RU"/>
        </w:rPr>
        <w:t>», </w:t>
      </w:r>
      <w:r w:rsidR="00640338" w:rsidRPr="006C62E6">
        <w:rPr>
          <w:rFonts w:eastAsiaTheme="minorHAnsi"/>
          <w:sz w:val="28"/>
          <w:szCs w:val="28"/>
          <w:lang w:eastAsia="en-US"/>
        </w:rPr>
        <w:t>«Про захист інформації в інформаційно-комунікаційних системах</w:t>
      </w:r>
      <w:r w:rsidR="00640338" w:rsidRPr="006C62E6">
        <w:rPr>
          <w:color w:val="000000" w:themeColor="text1"/>
          <w:sz w:val="28"/>
          <w:szCs w:val="28"/>
          <w:lang w:eastAsia="ru-RU"/>
        </w:rPr>
        <w:t xml:space="preserve">», </w:t>
      </w:r>
      <w:hyperlink r:id="rId9" w:tgtFrame="_blank" w:history="1">
        <w:r w:rsidR="0037360B" w:rsidRPr="006C62E6">
          <w:rPr>
            <w:color w:val="000000" w:themeColor="text1"/>
            <w:sz w:val="28"/>
            <w:szCs w:val="28"/>
            <w:lang w:eastAsia="ru-RU"/>
          </w:rPr>
          <w:t>«Про захист персональних даних</w:t>
        </w:r>
      </w:hyperlink>
      <w:r w:rsidR="0037360B" w:rsidRPr="006C62E6">
        <w:rPr>
          <w:color w:val="000000" w:themeColor="text1"/>
          <w:sz w:val="28"/>
          <w:szCs w:val="28"/>
          <w:lang w:eastAsia="ru-RU"/>
        </w:rPr>
        <w:t>», </w:t>
      </w:r>
      <w:hyperlink r:id="rId10" w:tgtFrame="_blank" w:history="1">
        <w:r w:rsidR="0037360B" w:rsidRPr="006C62E6">
          <w:rPr>
            <w:color w:val="000000" w:themeColor="text1"/>
            <w:sz w:val="28"/>
            <w:szCs w:val="28"/>
            <w:lang w:eastAsia="ru-RU"/>
          </w:rPr>
          <w:t>«Про платіжні системи та переказ коштів в Україні</w:t>
        </w:r>
      </w:hyperlink>
      <w:r w:rsidR="0037360B" w:rsidRPr="006C62E6">
        <w:rPr>
          <w:sz w:val="28"/>
          <w:szCs w:val="28"/>
          <w:lang w:eastAsia="ru-RU"/>
        </w:rPr>
        <w:t xml:space="preserve">», «Про платіжні послуги», «Про надання публічних (електронних публічних) </w:t>
      </w:r>
      <w:r w:rsidR="0037360B" w:rsidRPr="006C62E6">
        <w:rPr>
          <w:color w:val="000000" w:themeColor="text1"/>
          <w:sz w:val="28"/>
          <w:szCs w:val="28"/>
          <w:lang w:eastAsia="ru-RU"/>
        </w:rPr>
        <w:t xml:space="preserve">послуг щодо декларування та реєстрації місця проживання в Україні», </w:t>
      </w:r>
      <w:r w:rsidR="0037360B" w:rsidRPr="006C62E6">
        <w:rPr>
          <w:rFonts w:eastAsiaTheme="minorHAnsi"/>
          <w:bCs/>
          <w:sz w:val="28"/>
          <w:szCs w:val="28"/>
          <w:lang w:eastAsia="en-US"/>
        </w:rPr>
        <w:t xml:space="preserve">«Про публічні електронні реєстри», постанов Кабінету Міністрів України </w:t>
      </w:r>
      <w:r w:rsidR="0037360B" w:rsidRPr="006C62E6">
        <w:rPr>
          <w:color w:val="000000"/>
          <w:sz w:val="28"/>
          <w:szCs w:val="28"/>
        </w:rPr>
        <w:t xml:space="preserve">від 29 березня 2006  року № 373 «Про затвердження Правил забезпечення захисту інформації в інформаційних, електронних комунікаційних та інформаційно-комунікаційних системах», </w:t>
      </w:r>
      <w:r w:rsidR="0037360B" w:rsidRPr="006C62E6">
        <w:rPr>
          <w:color w:val="000000" w:themeColor="text1"/>
          <w:sz w:val="28"/>
          <w:szCs w:val="28"/>
          <w:lang w:eastAsia="ru-RU"/>
        </w:rPr>
        <w:t xml:space="preserve">від 01 жовтня 2014 року № 509 «Про облік внутрішньо переміщених осіб», постанови правління Національного Банку України від 17 березня 2020 року № 32 «Про затвердження Положення про Систему </w:t>
      </w:r>
      <w:r w:rsidR="0037360B" w:rsidRPr="006C62E6">
        <w:rPr>
          <w:color w:val="000000" w:themeColor="text1"/>
          <w:sz w:val="28"/>
          <w:szCs w:val="28"/>
          <w:lang w:val="en-US" w:eastAsia="ru-RU"/>
        </w:rPr>
        <w:t>Bank</w:t>
      </w:r>
      <w:r w:rsidR="0037360B" w:rsidRPr="006C62E6">
        <w:rPr>
          <w:color w:val="000000" w:themeColor="text1"/>
          <w:sz w:val="28"/>
          <w:szCs w:val="28"/>
          <w:lang w:eastAsia="ru-RU"/>
        </w:rPr>
        <w:t xml:space="preserve"> </w:t>
      </w:r>
      <w:r w:rsidR="0037360B" w:rsidRPr="006C62E6">
        <w:rPr>
          <w:color w:val="000000" w:themeColor="text1"/>
          <w:sz w:val="28"/>
          <w:szCs w:val="28"/>
          <w:lang w:val="en-US" w:eastAsia="ru-RU"/>
        </w:rPr>
        <w:t>ID</w:t>
      </w:r>
      <w:r w:rsidR="0037360B" w:rsidRPr="006C62E6">
        <w:rPr>
          <w:color w:val="000000" w:themeColor="text1"/>
          <w:sz w:val="28"/>
          <w:szCs w:val="28"/>
          <w:lang w:eastAsia="ru-RU"/>
        </w:rPr>
        <w:t xml:space="preserve"> Національного банку України», </w:t>
      </w:r>
      <w:r w:rsidR="0037360B" w:rsidRPr="006C62E6">
        <w:rPr>
          <w:sz w:val="28"/>
          <w:szCs w:val="28"/>
        </w:rPr>
        <w:t xml:space="preserve">актів Київської міської ради та виконавчого органу Київської міської ради (Київської міської державної адміністрації) </w:t>
      </w:r>
      <w:r w:rsidR="0037360B" w:rsidRPr="006C62E6">
        <w:rPr>
          <w:color w:val="000000" w:themeColor="text1"/>
          <w:sz w:val="28"/>
          <w:szCs w:val="28"/>
          <w:lang w:eastAsia="ru-RU"/>
        </w:rPr>
        <w:t>та інших нормативно-правових актів.</w:t>
      </w:r>
    </w:p>
    <w:p w14:paraId="2472BA7D" w14:textId="77777777" w:rsidR="00E14BD0" w:rsidRPr="006C62E6" w:rsidRDefault="00E14BD0" w:rsidP="00E41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CEAF2B" w14:textId="71E63A83" w:rsidR="006D0B83" w:rsidRPr="006C62E6" w:rsidRDefault="00F024DF" w:rsidP="00E05690">
      <w:pPr>
        <w:pStyle w:val="a7"/>
        <w:ind w:firstLine="720"/>
        <w:jc w:val="both"/>
        <w:rPr>
          <w:rFonts w:eastAsia="Calibri"/>
          <w:b/>
        </w:rPr>
      </w:pPr>
      <w:r w:rsidRPr="006C62E6">
        <w:rPr>
          <w:b/>
        </w:rPr>
        <w:t>3.</w:t>
      </w:r>
      <w:r w:rsidR="006A74B0" w:rsidRPr="006C62E6">
        <w:t xml:space="preserve"> </w:t>
      </w:r>
      <w:r w:rsidR="006D0B83" w:rsidRPr="006C62E6">
        <w:rPr>
          <w:rFonts w:eastAsia="Calibri"/>
          <w:b/>
        </w:rPr>
        <w:t>Опис цілей і завдань, основних положень проєкту</w:t>
      </w:r>
      <w:r w:rsidR="00495E66" w:rsidRPr="006C62E6">
        <w:rPr>
          <w:rFonts w:eastAsia="Calibri"/>
          <w:b/>
        </w:rPr>
        <w:t xml:space="preserve"> рі</w:t>
      </w:r>
      <w:r w:rsidR="00F665E5" w:rsidRPr="006C62E6">
        <w:rPr>
          <w:rFonts w:eastAsia="Calibri"/>
          <w:b/>
        </w:rPr>
        <w:t>шення Київської міської ради</w:t>
      </w:r>
      <w:r w:rsidR="006D0B83" w:rsidRPr="006C62E6">
        <w:rPr>
          <w:rFonts w:eastAsia="Calibri"/>
          <w:b/>
        </w:rPr>
        <w:t>, а також очікуваних соціально-економічних, правових на інших наслідків для територіальної громади міста Києва від прийняття запропонованого проєкту рішення Київської міської ради.</w:t>
      </w:r>
    </w:p>
    <w:p w14:paraId="3053B040" w14:textId="23D9366F" w:rsidR="00B90E97" w:rsidRPr="006C62E6" w:rsidRDefault="008E0F9F" w:rsidP="00B90E9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2E6">
        <w:rPr>
          <w:rFonts w:ascii="Times New Roman" w:hAnsi="Times New Roman" w:cs="Times New Roman"/>
          <w:sz w:val="28"/>
          <w:szCs w:val="28"/>
        </w:rPr>
        <w:t>Нова редакція</w:t>
      </w:r>
      <w:r w:rsidR="003F4A71" w:rsidRPr="006C62E6">
        <w:rPr>
          <w:rFonts w:ascii="Times New Roman" w:hAnsi="Times New Roman" w:cs="Times New Roman"/>
          <w:sz w:val="28"/>
          <w:szCs w:val="28"/>
        </w:rPr>
        <w:t xml:space="preserve"> </w:t>
      </w:r>
      <w:r w:rsidR="00963EAF" w:rsidRPr="006C62E6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Pr="006C62E6">
        <w:rPr>
          <w:rFonts w:ascii="Times New Roman" w:eastAsia="Times New Roman" w:hAnsi="Times New Roman" w:cs="Times New Roman"/>
          <w:sz w:val="28"/>
          <w:szCs w:val="28"/>
        </w:rPr>
        <w:t xml:space="preserve">про багатофункціональну електронну картку «Муніципальна картка «Картка киянина» </w:t>
      </w:r>
      <w:r w:rsidR="00B90E97" w:rsidRPr="006C6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визначає основні засади функціонування </w:t>
      </w:r>
      <w:r w:rsidR="00825991" w:rsidRPr="006C6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Муніципальної картки</w:t>
      </w:r>
      <w:r w:rsidR="00B90E97" w:rsidRPr="006C6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«Картка киянина», порядок та умови її видачі</w:t>
      </w:r>
      <w:r w:rsidR="000F3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використання та припинення </w:t>
      </w:r>
      <w:r w:rsidR="00B90E97" w:rsidRPr="006C62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дії.</w:t>
      </w:r>
    </w:p>
    <w:p w14:paraId="297FD18A" w14:textId="6DDCD6D9" w:rsidR="005E7F5E" w:rsidRPr="006C62E6" w:rsidRDefault="005E7F5E" w:rsidP="00B90E9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62E6">
        <w:rPr>
          <w:rFonts w:ascii="Times New Roman" w:eastAsia="Times New Roman" w:hAnsi="Times New Roman" w:cs="Times New Roman"/>
          <w:sz w:val="28"/>
          <w:szCs w:val="28"/>
        </w:rPr>
        <w:t xml:space="preserve">Нова редакція </w:t>
      </w:r>
      <w:r w:rsidR="00963EAF" w:rsidRPr="006C62E6">
        <w:rPr>
          <w:rFonts w:ascii="Times New Roman" w:eastAsia="Times New Roman" w:hAnsi="Times New Roman" w:cs="Times New Roman"/>
          <w:sz w:val="28"/>
          <w:szCs w:val="28"/>
        </w:rPr>
        <w:t xml:space="preserve">Положення </w:t>
      </w:r>
      <w:r w:rsidRPr="006C62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Pr="006C62E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інформаційно-комунікаційну систему «Р</w:t>
      </w:r>
      <w:r w:rsidRPr="006C62E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еєстр утримувачів багатофункціональної електронної картки «Муніципальна картка «Картка киянина» </w:t>
      </w:r>
      <w:r w:rsidR="009E4213" w:rsidRPr="006C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 порядок створення, функці</w:t>
      </w:r>
      <w:r w:rsidR="00EF7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73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нування, ведення, використання </w:t>
      </w:r>
      <w:r w:rsidR="009E4213" w:rsidRPr="006C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надання доступу </w:t>
      </w:r>
      <w:r w:rsidR="00EF7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</w:t>
      </w:r>
      <w:r w:rsidR="009E4213" w:rsidRPr="006C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 утримувачів багатофункціональної електронної картки «Муніципальна картка «Картка киянина» (далі – Реєстр)</w:t>
      </w:r>
      <w:r w:rsidR="00EF79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A03A0B" w14:textId="28DD93DB" w:rsidR="00DD502C" w:rsidRPr="006C62E6" w:rsidRDefault="00963EAF" w:rsidP="00105B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Прийняття проєкту рішення Київради </w:t>
      </w:r>
      <w:r w:rsidR="00DD502C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забезпечить підвищення соціального захисту малозабезпечених верств населення міста Києва, впорядкування механізмів надання пільг</w:t>
      </w:r>
      <w:r w:rsidR="009E421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>, доплат, допомог, компенсацій, цільових адресних допомог та інших заходів підтримки</w:t>
      </w:r>
      <w:r w:rsidR="00DD502C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>, їх обліку та адресності, надання сервісів, послуг і зниж</w:t>
      </w:r>
      <w:r w:rsidR="009E421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>ок, розширення переліку носіїв М</w:t>
      </w:r>
      <w:r w:rsidR="00DD502C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уніципальної картки «Картка киянина», </w:t>
      </w:r>
      <w:r w:rsidR="0017698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>облік</w:t>
      </w:r>
      <w:r w:rsidR="009E421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утримувачів М</w:t>
      </w:r>
      <w:r w:rsidR="00DD502C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уніципальної картки «Картка киянина» </w:t>
      </w:r>
      <w:r w:rsidR="0017698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шляхом ведення </w:t>
      </w:r>
      <w:r w:rsidR="00AD388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213" w:rsidRPr="006C62E6">
        <w:rPr>
          <w:rFonts w:ascii="Times New Roman" w:hAnsi="Times New Roman" w:cs="Times New Roman"/>
          <w:color w:val="000000" w:themeColor="text1"/>
          <w:sz w:val="28"/>
          <w:szCs w:val="28"/>
        </w:rPr>
        <w:t>Реєстру.</w:t>
      </w:r>
    </w:p>
    <w:p w14:paraId="7BFDD8F6" w14:textId="77777777" w:rsidR="009E4213" w:rsidRPr="006C62E6" w:rsidRDefault="009E4213" w:rsidP="00105B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4D3C53" w14:textId="77777777" w:rsidR="00131B42" w:rsidRPr="006C62E6" w:rsidRDefault="00131B42" w:rsidP="00E0569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14:paraId="4C992993" w14:textId="04E75140" w:rsidR="00131B42" w:rsidRPr="006C62E6" w:rsidRDefault="00131B42" w:rsidP="00131B42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 xml:space="preserve">Реалізація проєкту рішення не потребує витрат з бюджету міста Києва.  </w:t>
      </w:r>
    </w:p>
    <w:p w14:paraId="720751B2" w14:textId="77777777" w:rsidR="00131B42" w:rsidRPr="006C62E6" w:rsidRDefault="00131B42" w:rsidP="00131B42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4E2DE" w14:textId="2599A712" w:rsidR="00044204" w:rsidRPr="006C62E6" w:rsidRDefault="0014305A" w:rsidP="00E05690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lastRenderedPageBreak/>
        <w:t>Прізвище або назва суб’єкта подання, прізвище, посада, контактні дані доповідача проєкту рішення на пленарному засіданні</w:t>
      </w:r>
      <w:r w:rsidR="006D0B83" w:rsidRPr="006C62E6">
        <w:rPr>
          <w:rFonts w:ascii="Times New Roman" w:hAnsi="Times New Roman" w:cs="Times New Roman"/>
          <w:b/>
          <w:sz w:val="28"/>
          <w:szCs w:val="28"/>
        </w:rPr>
        <w:t xml:space="preserve"> та особа, відповідальна за супроводження проєкту рішення Київської міської ради</w:t>
      </w:r>
      <w:r w:rsidRPr="006C62E6">
        <w:rPr>
          <w:rFonts w:ascii="Times New Roman" w:hAnsi="Times New Roman" w:cs="Times New Roman"/>
          <w:b/>
          <w:sz w:val="28"/>
          <w:szCs w:val="28"/>
        </w:rPr>
        <w:t>.</w:t>
      </w:r>
    </w:p>
    <w:p w14:paraId="29A1B7A8" w14:textId="5040E0B3" w:rsidR="00EA41C3" w:rsidRPr="006C62E6" w:rsidRDefault="0014305A" w:rsidP="00E05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>Суб’єктом подання проєкту рішення Київ</w:t>
      </w:r>
      <w:r w:rsidR="00963EAF" w:rsidRPr="006C62E6">
        <w:rPr>
          <w:rFonts w:ascii="Times New Roman" w:hAnsi="Times New Roman" w:cs="Times New Roman"/>
          <w:sz w:val="28"/>
          <w:szCs w:val="28"/>
        </w:rPr>
        <w:t>р</w:t>
      </w:r>
      <w:r w:rsidRPr="006C62E6">
        <w:rPr>
          <w:rFonts w:ascii="Times New Roman" w:hAnsi="Times New Roman" w:cs="Times New Roman"/>
          <w:sz w:val="28"/>
          <w:szCs w:val="28"/>
        </w:rPr>
        <w:t xml:space="preserve">ади </w:t>
      </w:r>
      <w:r w:rsidR="004451C4" w:rsidRPr="006C62E6">
        <w:rPr>
          <w:rFonts w:ascii="Times New Roman" w:hAnsi="Times New Roman" w:cs="Times New Roman"/>
          <w:sz w:val="28"/>
          <w:szCs w:val="28"/>
        </w:rPr>
        <w:t>є виконавч</w:t>
      </w:r>
      <w:r w:rsidR="00EA41C3" w:rsidRPr="006C62E6">
        <w:rPr>
          <w:rFonts w:ascii="Times New Roman" w:hAnsi="Times New Roman" w:cs="Times New Roman"/>
          <w:sz w:val="28"/>
          <w:szCs w:val="28"/>
        </w:rPr>
        <w:t>ий орган Київської міської ради (Київськ</w:t>
      </w:r>
      <w:r w:rsidR="00CA58E8" w:rsidRPr="006C62E6">
        <w:rPr>
          <w:rFonts w:ascii="Times New Roman" w:hAnsi="Times New Roman" w:cs="Times New Roman"/>
          <w:sz w:val="28"/>
          <w:szCs w:val="28"/>
        </w:rPr>
        <w:t>а</w:t>
      </w:r>
      <w:r w:rsidR="00EA41C3" w:rsidRPr="006C62E6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A58E8" w:rsidRPr="006C62E6">
        <w:rPr>
          <w:rFonts w:ascii="Times New Roman" w:hAnsi="Times New Roman" w:cs="Times New Roman"/>
          <w:sz w:val="28"/>
          <w:szCs w:val="28"/>
        </w:rPr>
        <w:t>а</w:t>
      </w:r>
      <w:r w:rsidR="00EA41C3" w:rsidRPr="006C62E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CA58E8" w:rsidRPr="006C62E6">
        <w:rPr>
          <w:rFonts w:ascii="Times New Roman" w:hAnsi="Times New Roman" w:cs="Times New Roman"/>
          <w:sz w:val="28"/>
          <w:szCs w:val="28"/>
        </w:rPr>
        <w:t>а</w:t>
      </w:r>
      <w:r w:rsidR="00EA41C3" w:rsidRPr="006C62E6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CA58E8" w:rsidRPr="006C62E6">
        <w:rPr>
          <w:rFonts w:ascii="Times New Roman" w:hAnsi="Times New Roman" w:cs="Times New Roman"/>
          <w:sz w:val="28"/>
          <w:szCs w:val="28"/>
        </w:rPr>
        <w:t>я</w:t>
      </w:r>
      <w:r w:rsidR="00EA41C3" w:rsidRPr="006C62E6">
        <w:rPr>
          <w:rFonts w:ascii="Times New Roman" w:hAnsi="Times New Roman" w:cs="Times New Roman"/>
          <w:sz w:val="28"/>
          <w:szCs w:val="28"/>
        </w:rPr>
        <w:t>).</w:t>
      </w:r>
    </w:p>
    <w:p w14:paraId="66211D61" w14:textId="62DA248E" w:rsidR="00BF6E40" w:rsidRPr="006C62E6" w:rsidRDefault="004377E5" w:rsidP="00E05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>Особа, відповідальна</w:t>
      </w:r>
      <w:r w:rsidR="00205B86" w:rsidRPr="006C62E6">
        <w:rPr>
          <w:rFonts w:ascii="Times New Roman" w:hAnsi="Times New Roman" w:cs="Times New Roman"/>
          <w:sz w:val="28"/>
          <w:szCs w:val="28"/>
        </w:rPr>
        <w:t xml:space="preserve"> за супроводженн</w:t>
      </w:r>
      <w:r w:rsidR="00A15F7D" w:rsidRPr="006C62E6">
        <w:rPr>
          <w:rFonts w:ascii="Times New Roman" w:hAnsi="Times New Roman" w:cs="Times New Roman"/>
          <w:sz w:val="28"/>
          <w:szCs w:val="28"/>
        </w:rPr>
        <w:t>я</w:t>
      </w:r>
      <w:r w:rsidRPr="006C62E6">
        <w:rPr>
          <w:rFonts w:ascii="Times New Roman" w:hAnsi="Times New Roman" w:cs="Times New Roman"/>
          <w:sz w:val="28"/>
          <w:szCs w:val="28"/>
        </w:rPr>
        <w:t xml:space="preserve"> проєкту рішення </w:t>
      </w:r>
      <w:r w:rsidR="00963EAF" w:rsidRPr="006C62E6">
        <w:rPr>
          <w:rFonts w:ascii="Times New Roman" w:hAnsi="Times New Roman" w:cs="Times New Roman"/>
          <w:sz w:val="28"/>
          <w:szCs w:val="28"/>
        </w:rPr>
        <w:t xml:space="preserve">Київради </w:t>
      </w:r>
      <w:r w:rsidRPr="006C62E6">
        <w:rPr>
          <w:rFonts w:ascii="Times New Roman" w:hAnsi="Times New Roman" w:cs="Times New Roman"/>
          <w:sz w:val="28"/>
          <w:szCs w:val="28"/>
        </w:rPr>
        <w:t>та доповідач</w:t>
      </w:r>
      <w:r w:rsidR="00205B86" w:rsidRPr="006C62E6">
        <w:rPr>
          <w:rFonts w:ascii="Times New Roman" w:hAnsi="Times New Roman" w:cs="Times New Roman"/>
          <w:sz w:val="28"/>
          <w:szCs w:val="28"/>
        </w:rPr>
        <w:t xml:space="preserve"> по проєкту рішення на пленарному засіданні Київської міської ради є</w:t>
      </w:r>
      <w:r w:rsidR="00BF6E40" w:rsidRPr="006C62E6">
        <w:rPr>
          <w:rFonts w:ascii="Times New Roman" w:hAnsi="Times New Roman" w:cs="Times New Roman"/>
          <w:sz w:val="28"/>
          <w:szCs w:val="28"/>
        </w:rPr>
        <w:t>:</w:t>
      </w:r>
    </w:p>
    <w:p w14:paraId="1E74770C" w14:textId="412CA7B9" w:rsidR="00BF6E40" w:rsidRDefault="00E26C98" w:rsidP="00EF7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E6">
        <w:rPr>
          <w:rFonts w:ascii="Times New Roman" w:hAnsi="Times New Roman" w:cs="Times New Roman"/>
          <w:sz w:val="28"/>
          <w:szCs w:val="28"/>
        </w:rPr>
        <w:t xml:space="preserve"> </w:t>
      </w:r>
      <w:r w:rsidR="0014305A" w:rsidRPr="006C62E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16F48" w:rsidRPr="006C62E6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BF6E40" w:rsidRPr="006C62E6">
        <w:rPr>
          <w:rFonts w:ascii="Times New Roman" w:hAnsi="Times New Roman" w:cs="Times New Roman"/>
          <w:sz w:val="28"/>
          <w:szCs w:val="28"/>
        </w:rPr>
        <w:t>інформаційно-кому</w:t>
      </w:r>
      <w:r w:rsidR="000A700E" w:rsidRPr="006C62E6">
        <w:rPr>
          <w:rFonts w:ascii="Times New Roman" w:hAnsi="Times New Roman" w:cs="Times New Roman"/>
          <w:sz w:val="28"/>
          <w:szCs w:val="28"/>
        </w:rPr>
        <w:t>нікаційних технологій виконавчого</w:t>
      </w:r>
      <w:r w:rsidR="00BF6E40" w:rsidRPr="006C62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700E" w:rsidRPr="006C62E6">
        <w:rPr>
          <w:rFonts w:ascii="Times New Roman" w:hAnsi="Times New Roman" w:cs="Times New Roman"/>
          <w:sz w:val="28"/>
          <w:szCs w:val="28"/>
        </w:rPr>
        <w:t>у</w:t>
      </w:r>
      <w:r w:rsidR="00BF6E40" w:rsidRPr="006C62E6">
        <w:rPr>
          <w:rFonts w:ascii="Times New Roman" w:hAnsi="Times New Roman" w:cs="Times New Roman"/>
          <w:sz w:val="28"/>
          <w:szCs w:val="28"/>
        </w:rPr>
        <w:t xml:space="preserve"> </w:t>
      </w:r>
      <w:r w:rsidR="000A700E" w:rsidRPr="006C62E6">
        <w:rPr>
          <w:rFonts w:ascii="Times New Roman" w:hAnsi="Times New Roman" w:cs="Times New Roman"/>
          <w:sz w:val="28"/>
          <w:szCs w:val="28"/>
        </w:rPr>
        <w:t>Київської міської ради (Київської</w:t>
      </w:r>
      <w:r w:rsidR="00BF6E40" w:rsidRPr="006C62E6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0A700E" w:rsidRPr="006C62E6">
        <w:rPr>
          <w:rFonts w:ascii="Times New Roman" w:hAnsi="Times New Roman" w:cs="Times New Roman"/>
          <w:sz w:val="28"/>
          <w:szCs w:val="28"/>
        </w:rPr>
        <w:t>ої державної адміністрації</w:t>
      </w:r>
      <w:r w:rsidR="00BF6E40" w:rsidRPr="006C62E6">
        <w:rPr>
          <w:rFonts w:ascii="Times New Roman" w:hAnsi="Times New Roman" w:cs="Times New Roman"/>
          <w:sz w:val="28"/>
          <w:szCs w:val="28"/>
        </w:rPr>
        <w:t>) Олег П</w:t>
      </w:r>
      <w:bookmarkStart w:id="1" w:name="_Hlk24460605"/>
      <w:r w:rsidR="004377E5" w:rsidRPr="006C62E6">
        <w:rPr>
          <w:rFonts w:ascii="Times New Roman" w:hAnsi="Times New Roman" w:cs="Times New Roman"/>
          <w:sz w:val="28"/>
          <w:szCs w:val="28"/>
        </w:rPr>
        <w:t>ОЛОВИНКО, 366-86-75, 366-86-72</w:t>
      </w:r>
      <w:r w:rsidR="00EF7980">
        <w:rPr>
          <w:rFonts w:ascii="Times New Roman" w:hAnsi="Times New Roman" w:cs="Times New Roman"/>
          <w:sz w:val="28"/>
          <w:szCs w:val="28"/>
        </w:rPr>
        <w:t>;</w:t>
      </w:r>
    </w:p>
    <w:p w14:paraId="18150B6F" w14:textId="5E52E740" w:rsidR="00EF7980" w:rsidRPr="00F03755" w:rsidRDefault="00EF7980" w:rsidP="00EF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755">
        <w:rPr>
          <w:rFonts w:ascii="Times New Roman" w:hAnsi="Times New Roman" w:cs="Times New Roman"/>
          <w:sz w:val="28"/>
          <w:szCs w:val="28"/>
        </w:rPr>
        <w:t>заступник директора Департаменту інформаційно-комунікаційних технологій виконавчого органу Київської міської ради (Київської міської державної адміністрації)</w:t>
      </w:r>
      <w:r w:rsidRPr="00EF7980">
        <w:rPr>
          <w:rFonts w:ascii="Times New Roman" w:hAnsi="Times New Roman" w:cs="Times New Roman"/>
          <w:sz w:val="28"/>
          <w:szCs w:val="28"/>
        </w:rPr>
        <w:t xml:space="preserve"> </w:t>
      </w:r>
      <w:r w:rsidRPr="00F03755">
        <w:rPr>
          <w:rFonts w:ascii="Times New Roman" w:hAnsi="Times New Roman" w:cs="Times New Roman"/>
          <w:sz w:val="28"/>
          <w:szCs w:val="28"/>
        </w:rPr>
        <w:t>Ганна ЛИСИК</w:t>
      </w:r>
      <w:r>
        <w:rPr>
          <w:rFonts w:ascii="Times New Roman" w:hAnsi="Times New Roman" w:cs="Times New Roman"/>
          <w:sz w:val="28"/>
          <w:szCs w:val="28"/>
        </w:rPr>
        <w:t>, 366-86-75;</w:t>
      </w:r>
    </w:p>
    <w:p w14:paraId="738AB3DA" w14:textId="678DC2C3" w:rsidR="000A700E" w:rsidRPr="006C62E6" w:rsidRDefault="00EF7980" w:rsidP="00EF7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700E" w:rsidRPr="006C62E6">
        <w:rPr>
          <w:rFonts w:ascii="Times New Roman" w:hAnsi="Times New Roman" w:cs="Times New Roman"/>
          <w:sz w:val="28"/>
          <w:szCs w:val="28"/>
        </w:rPr>
        <w:t xml:space="preserve">иректор Департаменту соціальної політики виконавчого органу Київської міської ради (Київської міської державної адміністрації) </w:t>
      </w:r>
      <w:r w:rsidR="000A700E" w:rsidRPr="006C62E6">
        <w:rPr>
          <w:rFonts w:ascii="Times New Roman" w:hAnsi="Times New Roman" w:cs="Times New Roman"/>
          <w:kern w:val="1"/>
          <w:sz w:val="28"/>
          <w:szCs w:val="28"/>
        </w:rPr>
        <w:t>Руслан СВІТЛИЙ,</w:t>
      </w:r>
      <w:r w:rsidR="00251744" w:rsidRPr="006C62E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B399A" w:rsidRPr="006C62E6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  <w:r w:rsidR="004B399A" w:rsidRPr="006C62E6">
        <w:rPr>
          <w:rFonts w:ascii="Times New Roman" w:hAnsi="Times New Roman" w:cs="Times New Roman"/>
          <w:sz w:val="28"/>
          <w:szCs w:val="28"/>
        </w:rPr>
        <w:t>404-21-97.</w:t>
      </w:r>
      <w:r w:rsidR="000A700E" w:rsidRPr="006C62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75"/>
        <w:tblW w:w="9735" w:type="dxa"/>
        <w:tblLook w:val="04A0" w:firstRow="1" w:lastRow="0" w:firstColumn="1" w:lastColumn="0" w:noHBand="0" w:noVBand="1"/>
      </w:tblPr>
      <w:tblGrid>
        <w:gridCol w:w="6270"/>
        <w:gridCol w:w="3465"/>
      </w:tblGrid>
      <w:tr w:rsidR="0084767F" w:rsidRPr="00474324" w14:paraId="001368AD" w14:textId="77777777" w:rsidTr="0084767F">
        <w:trPr>
          <w:trHeight w:val="1161"/>
        </w:trPr>
        <w:tc>
          <w:tcPr>
            <w:tcW w:w="6270" w:type="dxa"/>
            <w:shd w:val="clear" w:color="auto" w:fill="auto"/>
          </w:tcPr>
          <w:p w14:paraId="6148C379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Департаменту </w:t>
            </w:r>
          </w:p>
          <w:p w14:paraId="3F7FD7E4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інформаційно-комунікаційних</w:t>
            </w:r>
          </w:p>
          <w:p w14:paraId="268A24FD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технологій </w:t>
            </w:r>
          </w:p>
        </w:tc>
        <w:tc>
          <w:tcPr>
            <w:tcW w:w="3465" w:type="dxa"/>
            <w:shd w:val="clear" w:color="auto" w:fill="auto"/>
          </w:tcPr>
          <w:p w14:paraId="1CB9CB9D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EC50760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Олег ПОЛОВИНКО</w:t>
            </w:r>
          </w:p>
          <w:p w14:paraId="07B8B057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5351B180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4767F" w:rsidRPr="00474324" w14:paraId="2ED7C045" w14:textId="77777777" w:rsidTr="0084767F">
        <w:trPr>
          <w:trHeight w:val="1161"/>
        </w:trPr>
        <w:tc>
          <w:tcPr>
            <w:tcW w:w="6270" w:type="dxa"/>
            <w:shd w:val="clear" w:color="auto" w:fill="auto"/>
          </w:tcPr>
          <w:p w14:paraId="25F7E957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</w:pPr>
            <w:r w:rsidRPr="00474324"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14:paraId="03A35AEA" w14:textId="32BF7304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  <w:t>соціальної політики</w:t>
            </w:r>
          </w:p>
        </w:tc>
        <w:tc>
          <w:tcPr>
            <w:tcW w:w="3465" w:type="dxa"/>
            <w:shd w:val="clear" w:color="auto" w:fill="auto"/>
          </w:tcPr>
          <w:p w14:paraId="2CE380FA" w14:textId="77777777" w:rsidR="0084767F" w:rsidRPr="00474324" w:rsidRDefault="0084767F" w:rsidP="0084767F">
            <w:pPr>
              <w:pStyle w:val="a"/>
              <w:numPr>
                <w:ilvl w:val="0"/>
                <w:numId w:val="0"/>
              </w:num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324"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  <w:t>Руслан СВІТЛИЙ</w:t>
            </w:r>
          </w:p>
        </w:tc>
      </w:tr>
    </w:tbl>
    <w:p w14:paraId="3E4D4B52" w14:textId="39AAEF86" w:rsidR="00BF6E40" w:rsidRPr="006C62E6" w:rsidRDefault="00BF6E40" w:rsidP="00EF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pPr w:leftFromText="180" w:rightFromText="180" w:vertAnchor="text" w:horzAnchor="margin" w:tblpX="-714" w:tblpY="-232"/>
        <w:tblW w:w="10065" w:type="dxa"/>
        <w:tblLook w:val="01E0" w:firstRow="1" w:lastRow="1" w:firstColumn="1" w:lastColumn="1" w:noHBand="0" w:noVBand="0"/>
      </w:tblPr>
      <w:tblGrid>
        <w:gridCol w:w="6946"/>
        <w:gridCol w:w="3119"/>
      </w:tblGrid>
      <w:tr w:rsidR="0084767F" w:rsidRPr="00F17141" w14:paraId="58254262" w14:textId="77777777" w:rsidTr="0088447C">
        <w:trPr>
          <w:trHeight w:val="338"/>
        </w:trPr>
        <w:tc>
          <w:tcPr>
            <w:tcW w:w="6946" w:type="dxa"/>
          </w:tcPr>
          <w:p w14:paraId="2A8FFBF6" w14:textId="2008A9DF" w:rsidR="0084767F" w:rsidRPr="00F17141" w:rsidRDefault="0084767F" w:rsidP="00884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0C1DC17" w14:textId="685E0B8A" w:rsidR="0084767F" w:rsidRPr="00F17141" w:rsidRDefault="0084767F" w:rsidP="00884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C29DF3" w14:textId="77777777" w:rsidR="009D0F32" w:rsidRPr="007356AF" w:rsidRDefault="009D0F32" w:rsidP="001778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D0F32" w:rsidRPr="007356AF" w:rsidSect="00323C88">
      <w:pgSz w:w="11906" w:h="16838"/>
      <w:pgMar w:top="907" w:right="794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68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B4D5A"/>
    <w:multiLevelType w:val="hybridMultilevel"/>
    <w:tmpl w:val="BC3E05EA"/>
    <w:lvl w:ilvl="0" w:tplc="6776A6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4A7AA6"/>
    <w:multiLevelType w:val="hybridMultilevel"/>
    <w:tmpl w:val="FA1803CA"/>
    <w:lvl w:ilvl="0" w:tplc="2876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FF15C1"/>
    <w:multiLevelType w:val="hybridMultilevel"/>
    <w:tmpl w:val="FEE09BE2"/>
    <w:lvl w:ilvl="0" w:tplc="EFBA6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566D52"/>
    <w:multiLevelType w:val="hybridMultilevel"/>
    <w:tmpl w:val="5B368704"/>
    <w:lvl w:ilvl="0" w:tplc="4B987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E7631"/>
    <w:multiLevelType w:val="hybridMultilevel"/>
    <w:tmpl w:val="3288D85A"/>
    <w:lvl w:ilvl="0" w:tplc="73DC2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4"/>
    <w:rsid w:val="00003990"/>
    <w:rsid w:val="0001537E"/>
    <w:rsid w:val="000426C3"/>
    <w:rsid w:val="00044204"/>
    <w:rsid w:val="00046E3F"/>
    <w:rsid w:val="000552D0"/>
    <w:rsid w:val="00056D06"/>
    <w:rsid w:val="00073819"/>
    <w:rsid w:val="00081857"/>
    <w:rsid w:val="00095EAB"/>
    <w:rsid w:val="000A206F"/>
    <w:rsid w:val="000A700E"/>
    <w:rsid w:val="000B61CF"/>
    <w:rsid w:val="000C120D"/>
    <w:rsid w:val="000C1579"/>
    <w:rsid w:val="000C2FDB"/>
    <w:rsid w:val="000D0D6B"/>
    <w:rsid w:val="000F121F"/>
    <w:rsid w:val="000F3D26"/>
    <w:rsid w:val="000F6677"/>
    <w:rsid w:val="001021BD"/>
    <w:rsid w:val="00105B6E"/>
    <w:rsid w:val="00116F48"/>
    <w:rsid w:val="001170DE"/>
    <w:rsid w:val="00120C64"/>
    <w:rsid w:val="00131B42"/>
    <w:rsid w:val="001370B7"/>
    <w:rsid w:val="0014305A"/>
    <w:rsid w:val="00143564"/>
    <w:rsid w:val="00156EEB"/>
    <w:rsid w:val="001626E7"/>
    <w:rsid w:val="00162C35"/>
    <w:rsid w:val="00163DF0"/>
    <w:rsid w:val="00176983"/>
    <w:rsid w:val="001778C8"/>
    <w:rsid w:val="00180632"/>
    <w:rsid w:val="00182950"/>
    <w:rsid w:val="001C5EE0"/>
    <w:rsid w:val="001C72EF"/>
    <w:rsid w:val="001C785F"/>
    <w:rsid w:val="001C7EAB"/>
    <w:rsid w:val="001D0B0D"/>
    <w:rsid w:val="001D52C2"/>
    <w:rsid w:val="001E03F2"/>
    <w:rsid w:val="001E1CAB"/>
    <w:rsid w:val="001F1836"/>
    <w:rsid w:val="001F1CC0"/>
    <w:rsid w:val="00205B86"/>
    <w:rsid w:val="0022552C"/>
    <w:rsid w:val="00251744"/>
    <w:rsid w:val="00264386"/>
    <w:rsid w:val="00297C2F"/>
    <w:rsid w:val="002A77ED"/>
    <w:rsid w:val="002C0D7B"/>
    <w:rsid w:val="002C32EE"/>
    <w:rsid w:val="002C4E81"/>
    <w:rsid w:val="002D5EC7"/>
    <w:rsid w:val="002E0739"/>
    <w:rsid w:val="002E15EF"/>
    <w:rsid w:val="002E4AC1"/>
    <w:rsid w:val="002E7845"/>
    <w:rsid w:val="002F2F49"/>
    <w:rsid w:val="00304964"/>
    <w:rsid w:val="00305F1B"/>
    <w:rsid w:val="00313900"/>
    <w:rsid w:val="00315D82"/>
    <w:rsid w:val="00323C88"/>
    <w:rsid w:val="00327846"/>
    <w:rsid w:val="00347268"/>
    <w:rsid w:val="00361E5A"/>
    <w:rsid w:val="00364350"/>
    <w:rsid w:val="0037360B"/>
    <w:rsid w:val="003738B0"/>
    <w:rsid w:val="003824F0"/>
    <w:rsid w:val="0039405C"/>
    <w:rsid w:val="003B5F6F"/>
    <w:rsid w:val="003C004A"/>
    <w:rsid w:val="003C0944"/>
    <w:rsid w:val="003D5CFD"/>
    <w:rsid w:val="003E180B"/>
    <w:rsid w:val="003F1E5D"/>
    <w:rsid w:val="003F4A71"/>
    <w:rsid w:val="003F5B8A"/>
    <w:rsid w:val="003F6B27"/>
    <w:rsid w:val="003F7E6C"/>
    <w:rsid w:val="0040265D"/>
    <w:rsid w:val="00405E28"/>
    <w:rsid w:val="004105B6"/>
    <w:rsid w:val="00411C54"/>
    <w:rsid w:val="00417875"/>
    <w:rsid w:val="004377E5"/>
    <w:rsid w:val="004451C4"/>
    <w:rsid w:val="004502BB"/>
    <w:rsid w:val="00453611"/>
    <w:rsid w:val="004541FF"/>
    <w:rsid w:val="004543FD"/>
    <w:rsid w:val="00474324"/>
    <w:rsid w:val="004750CB"/>
    <w:rsid w:val="00481207"/>
    <w:rsid w:val="00484CB4"/>
    <w:rsid w:val="00486A6E"/>
    <w:rsid w:val="0049224D"/>
    <w:rsid w:val="00495E66"/>
    <w:rsid w:val="004A5358"/>
    <w:rsid w:val="004B0320"/>
    <w:rsid w:val="004B1662"/>
    <w:rsid w:val="004B399A"/>
    <w:rsid w:val="004B3E71"/>
    <w:rsid w:val="004D1553"/>
    <w:rsid w:val="004D2F5D"/>
    <w:rsid w:val="004D4143"/>
    <w:rsid w:val="004D59DD"/>
    <w:rsid w:val="00501C88"/>
    <w:rsid w:val="00512B64"/>
    <w:rsid w:val="005144C8"/>
    <w:rsid w:val="00516B3B"/>
    <w:rsid w:val="00532C41"/>
    <w:rsid w:val="00537A97"/>
    <w:rsid w:val="005504CE"/>
    <w:rsid w:val="00554BBA"/>
    <w:rsid w:val="005606D7"/>
    <w:rsid w:val="00560CB3"/>
    <w:rsid w:val="00574115"/>
    <w:rsid w:val="00583384"/>
    <w:rsid w:val="005A442D"/>
    <w:rsid w:val="005A5E0F"/>
    <w:rsid w:val="005B05EB"/>
    <w:rsid w:val="005B50D0"/>
    <w:rsid w:val="005C7244"/>
    <w:rsid w:val="005E1A1D"/>
    <w:rsid w:val="005E7509"/>
    <w:rsid w:val="005E7F5E"/>
    <w:rsid w:val="005F26C1"/>
    <w:rsid w:val="005F47AC"/>
    <w:rsid w:val="006024D7"/>
    <w:rsid w:val="00603136"/>
    <w:rsid w:val="00607FAB"/>
    <w:rsid w:val="00621100"/>
    <w:rsid w:val="00623824"/>
    <w:rsid w:val="006274D3"/>
    <w:rsid w:val="00633731"/>
    <w:rsid w:val="00640338"/>
    <w:rsid w:val="006419B4"/>
    <w:rsid w:val="006456F9"/>
    <w:rsid w:val="00646136"/>
    <w:rsid w:val="00646CC9"/>
    <w:rsid w:val="00651287"/>
    <w:rsid w:val="00660973"/>
    <w:rsid w:val="00660F89"/>
    <w:rsid w:val="0066680F"/>
    <w:rsid w:val="00672039"/>
    <w:rsid w:val="006A0BDB"/>
    <w:rsid w:val="006A74B0"/>
    <w:rsid w:val="006B76D5"/>
    <w:rsid w:val="006C62E6"/>
    <w:rsid w:val="006D048F"/>
    <w:rsid w:val="006D0B83"/>
    <w:rsid w:val="006E22D7"/>
    <w:rsid w:val="006E4016"/>
    <w:rsid w:val="006F106C"/>
    <w:rsid w:val="00701604"/>
    <w:rsid w:val="0070188F"/>
    <w:rsid w:val="00726A24"/>
    <w:rsid w:val="00733A84"/>
    <w:rsid w:val="007353DC"/>
    <w:rsid w:val="007355F3"/>
    <w:rsid w:val="007356AF"/>
    <w:rsid w:val="00761630"/>
    <w:rsid w:val="007754CF"/>
    <w:rsid w:val="00776778"/>
    <w:rsid w:val="0078112F"/>
    <w:rsid w:val="007830AE"/>
    <w:rsid w:val="007914A2"/>
    <w:rsid w:val="007A1917"/>
    <w:rsid w:val="007A1E81"/>
    <w:rsid w:val="007B4575"/>
    <w:rsid w:val="007B54AA"/>
    <w:rsid w:val="007C56C3"/>
    <w:rsid w:val="007E2B7F"/>
    <w:rsid w:val="007E7CFB"/>
    <w:rsid w:val="007F40ED"/>
    <w:rsid w:val="007F6256"/>
    <w:rsid w:val="007F6883"/>
    <w:rsid w:val="007F785A"/>
    <w:rsid w:val="008002D9"/>
    <w:rsid w:val="00801B1D"/>
    <w:rsid w:val="00824FE3"/>
    <w:rsid w:val="00825991"/>
    <w:rsid w:val="00831508"/>
    <w:rsid w:val="008353C5"/>
    <w:rsid w:val="00840856"/>
    <w:rsid w:val="00841D86"/>
    <w:rsid w:val="00844A7D"/>
    <w:rsid w:val="0084767F"/>
    <w:rsid w:val="00847F3B"/>
    <w:rsid w:val="00852D94"/>
    <w:rsid w:val="0086124C"/>
    <w:rsid w:val="0086642E"/>
    <w:rsid w:val="008722B6"/>
    <w:rsid w:val="008766B1"/>
    <w:rsid w:val="00893390"/>
    <w:rsid w:val="008A0D06"/>
    <w:rsid w:val="008D5B94"/>
    <w:rsid w:val="008E040A"/>
    <w:rsid w:val="008E0F9F"/>
    <w:rsid w:val="008E79B8"/>
    <w:rsid w:val="008F62F4"/>
    <w:rsid w:val="00901A51"/>
    <w:rsid w:val="00902D7F"/>
    <w:rsid w:val="009030B0"/>
    <w:rsid w:val="00917137"/>
    <w:rsid w:val="0092005D"/>
    <w:rsid w:val="0092401E"/>
    <w:rsid w:val="0092567D"/>
    <w:rsid w:val="0092573F"/>
    <w:rsid w:val="00926FC1"/>
    <w:rsid w:val="00930E3A"/>
    <w:rsid w:val="00931E30"/>
    <w:rsid w:val="009358BE"/>
    <w:rsid w:val="00937550"/>
    <w:rsid w:val="00941C44"/>
    <w:rsid w:val="00945E70"/>
    <w:rsid w:val="0096056C"/>
    <w:rsid w:val="00963EAF"/>
    <w:rsid w:val="00984E40"/>
    <w:rsid w:val="009A4A25"/>
    <w:rsid w:val="009B1689"/>
    <w:rsid w:val="009C2005"/>
    <w:rsid w:val="009C4065"/>
    <w:rsid w:val="009C5C58"/>
    <w:rsid w:val="009C5FC1"/>
    <w:rsid w:val="009C7373"/>
    <w:rsid w:val="009D0F32"/>
    <w:rsid w:val="009D5441"/>
    <w:rsid w:val="009E4213"/>
    <w:rsid w:val="009F4F0D"/>
    <w:rsid w:val="00A15F7D"/>
    <w:rsid w:val="00A20679"/>
    <w:rsid w:val="00A52D90"/>
    <w:rsid w:val="00A53EA1"/>
    <w:rsid w:val="00A74E03"/>
    <w:rsid w:val="00A8218E"/>
    <w:rsid w:val="00A83707"/>
    <w:rsid w:val="00A95409"/>
    <w:rsid w:val="00AA25DF"/>
    <w:rsid w:val="00AA38FD"/>
    <w:rsid w:val="00AA4970"/>
    <w:rsid w:val="00AA699B"/>
    <w:rsid w:val="00AD0774"/>
    <w:rsid w:val="00AD1112"/>
    <w:rsid w:val="00AD27D4"/>
    <w:rsid w:val="00AD3883"/>
    <w:rsid w:val="00AD6112"/>
    <w:rsid w:val="00AE07D3"/>
    <w:rsid w:val="00AE7967"/>
    <w:rsid w:val="00AF232C"/>
    <w:rsid w:val="00B01272"/>
    <w:rsid w:val="00B0271C"/>
    <w:rsid w:val="00B24839"/>
    <w:rsid w:val="00B51802"/>
    <w:rsid w:val="00B521AF"/>
    <w:rsid w:val="00B63685"/>
    <w:rsid w:val="00B71C6C"/>
    <w:rsid w:val="00B71CF9"/>
    <w:rsid w:val="00B74EB3"/>
    <w:rsid w:val="00B85431"/>
    <w:rsid w:val="00B85810"/>
    <w:rsid w:val="00B906BE"/>
    <w:rsid w:val="00B90E97"/>
    <w:rsid w:val="00B91BDB"/>
    <w:rsid w:val="00B97B18"/>
    <w:rsid w:val="00BA34C4"/>
    <w:rsid w:val="00BA3F94"/>
    <w:rsid w:val="00BB0A97"/>
    <w:rsid w:val="00BB7F99"/>
    <w:rsid w:val="00BC0002"/>
    <w:rsid w:val="00BC59CA"/>
    <w:rsid w:val="00BC6EFB"/>
    <w:rsid w:val="00BD2061"/>
    <w:rsid w:val="00BE1CE7"/>
    <w:rsid w:val="00BF6E40"/>
    <w:rsid w:val="00C07FE9"/>
    <w:rsid w:val="00C23813"/>
    <w:rsid w:val="00C26659"/>
    <w:rsid w:val="00C42675"/>
    <w:rsid w:val="00C4495C"/>
    <w:rsid w:val="00C55208"/>
    <w:rsid w:val="00C66C96"/>
    <w:rsid w:val="00C73CF6"/>
    <w:rsid w:val="00C9786D"/>
    <w:rsid w:val="00CA3206"/>
    <w:rsid w:val="00CA448F"/>
    <w:rsid w:val="00CA58E8"/>
    <w:rsid w:val="00CD700F"/>
    <w:rsid w:val="00CF2BAB"/>
    <w:rsid w:val="00CF7037"/>
    <w:rsid w:val="00CF7DC8"/>
    <w:rsid w:val="00D16D66"/>
    <w:rsid w:val="00D2495E"/>
    <w:rsid w:val="00D24E9B"/>
    <w:rsid w:val="00D26766"/>
    <w:rsid w:val="00D42147"/>
    <w:rsid w:val="00D4654B"/>
    <w:rsid w:val="00D637E5"/>
    <w:rsid w:val="00D64353"/>
    <w:rsid w:val="00D71EF6"/>
    <w:rsid w:val="00D7722F"/>
    <w:rsid w:val="00D87A9B"/>
    <w:rsid w:val="00D87F54"/>
    <w:rsid w:val="00D975AF"/>
    <w:rsid w:val="00DA4B62"/>
    <w:rsid w:val="00DB5455"/>
    <w:rsid w:val="00DB662A"/>
    <w:rsid w:val="00DB73AD"/>
    <w:rsid w:val="00DC4DB0"/>
    <w:rsid w:val="00DD404E"/>
    <w:rsid w:val="00DD502C"/>
    <w:rsid w:val="00DE5345"/>
    <w:rsid w:val="00DF7A77"/>
    <w:rsid w:val="00E05690"/>
    <w:rsid w:val="00E14BD0"/>
    <w:rsid w:val="00E20A7B"/>
    <w:rsid w:val="00E26C98"/>
    <w:rsid w:val="00E30119"/>
    <w:rsid w:val="00E411EB"/>
    <w:rsid w:val="00E4242A"/>
    <w:rsid w:val="00E53BCA"/>
    <w:rsid w:val="00E63EBA"/>
    <w:rsid w:val="00E64BF7"/>
    <w:rsid w:val="00E65105"/>
    <w:rsid w:val="00E7310D"/>
    <w:rsid w:val="00E81592"/>
    <w:rsid w:val="00E86B71"/>
    <w:rsid w:val="00EA41C3"/>
    <w:rsid w:val="00EC2D64"/>
    <w:rsid w:val="00EF62C0"/>
    <w:rsid w:val="00EF7980"/>
    <w:rsid w:val="00F024DF"/>
    <w:rsid w:val="00F05E8A"/>
    <w:rsid w:val="00F05EBD"/>
    <w:rsid w:val="00F12634"/>
    <w:rsid w:val="00F245D7"/>
    <w:rsid w:val="00F3517B"/>
    <w:rsid w:val="00F40613"/>
    <w:rsid w:val="00F6092B"/>
    <w:rsid w:val="00F665E5"/>
    <w:rsid w:val="00F716E3"/>
    <w:rsid w:val="00F74377"/>
    <w:rsid w:val="00F81544"/>
    <w:rsid w:val="00F826AD"/>
    <w:rsid w:val="00F84B6E"/>
    <w:rsid w:val="00F92A7F"/>
    <w:rsid w:val="00F94723"/>
    <w:rsid w:val="00FA1B30"/>
    <w:rsid w:val="00FA58BF"/>
    <w:rsid w:val="00FB2C11"/>
    <w:rsid w:val="00FB75CB"/>
    <w:rsid w:val="00FC0D08"/>
    <w:rsid w:val="00FC4869"/>
    <w:rsid w:val="00FE7680"/>
    <w:rsid w:val="00FF1B43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4A2"/>
  <w15:chartTrackingRefBased/>
  <w15:docId w15:val="{55E36F5D-A45C-432B-A21A-239B33A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qFormat/>
    <w:rsid w:val="009C5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420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4204"/>
    <w:rPr>
      <w:color w:val="605E5C"/>
      <w:shd w:val="clear" w:color="auto" w:fill="E1DFDD"/>
    </w:rPr>
  </w:style>
  <w:style w:type="paragraph" w:styleId="a5">
    <w:name w:val="List Paragraph"/>
    <w:aliases w:val="название табл/рис,тв-Абзац списка,заголовок 1.1,Абзац списка1,Абзац списку 1,List Paragraph (numbered (a)),List_Paragraph,Multilevel para_II,List Paragraph1,List Paragraph-ExecSummary,Akapit z listą BS,Bullets,List Paragraph 1,References"/>
    <w:basedOn w:val="a0"/>
    <w:link w:val="a6"/>
    <w:uiPriority w:val="34"/>
    <w:qFormat/>
    <w:rsid w:val="00044204"/>
    <w:pPr>
      <w:ind w:left="720"/>
      <w:contextualSpacing/>
    </w:pPr>
  </w:style>
  <w:style w:type="paragraph" w:styleId="a7">
    <w:name w:val="Body Text"/>
    <w:basedOn w:val="a0"/>
    <w:link w:val="a8"/>
    <w:uiPriority w:val="1"/>
    <w:qFormat/>
    <w:rsid w:val="0041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8">
    <w:name w:val="Основной текст Знак"/>
    <w:basedOn w:val="a1"/>
    <w:link w:val="a7"/>
    <w:uiPriority w:val="1"/>
    <w:rsid w:val="00411C5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9">
    <w:name w:val="Balloon Text"/>
    <w:basedOn w:val="a0"/>
    <w:link w:val="aa"/>
    <w:uiPriority w:val="99"/>
    <w:semiHidden/>
    <w:unhideWhenUsed/>
    <w:rsid w:val="00D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B662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9C5F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j">
    <w:name w:val="tj"/>
    <w:basedOn w:val="a0"/>
    <w:rsid w:val="007B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rsid w:val="000C120D"/>
    <w:pPr>
      <w:numPr>
        <w:numId w:val="4"/>
      </w:numPr>
      <w:contextualSpacing/>
    </w:pPr>
    <w:rPr>
      <w:rFonts w:ascii="Calibri" w:eastAsia="Times New Roman" w:hAnsi="Calibri" w:cs="Times New Roman"/>
      <w:lang w:val="ru-RU"/>
    </w:rPr>
  </w:style>
  <w:style w:type="table" w:styleId="ab">
    <w:name w:val="Table Grid"/>
    <w:basedOn w:val="a2"/>
    <w:uiPriority w:val="59"/>
    <w:rsid w:val="00E30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азвание табл/рис Знак,тв-Абзац списка Знак,заголовок 1.1 Знак,Абзац списка1 Знак,Абзац списку 1 Знак,List Paragraph (numbered (a)) Знак,List_Paragraph Знак,Multilevel para_II Знак,List Paragraph1 Знак,List Paragraph-ExecSummary Знак"/>
    <w:link w:val="a5"/>
    <w:uiPriority w:val="34"/>
    <w:qFormat/>
    <w:locked/>
    <w:rsid w:val="00E30119"/>
  </w:style>
  <w:style w:type="paragraph" w:customStyle="1" w:styleId="tc">
    <w:name w:val="tc"/>
    <w:basedOn w:val="a0"/>
    <w:rsid w:val="0037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annotation text"/>
    <w:basedOn w:val="a0"/>
    <w:link w:val="ad"/>
    <w:uiPriority w:val="99"/>
    <w:unhideWhenUsed/>
    <w:rsid w:val="009E42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9E421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265700?ed=2018_02_28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002017?ed=2018_06_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z970280?ed=2018_11_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t012346?ed=2018_05_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102297?ed=2017_10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997F-7CA1-48C7-947C-8E2613C5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Тертичний Олександр Михайлович</dc:creator>
  <cp:keywords/>
  <dc:description/>
  <cp:lastModifiedBy>hetmandenisll@gmail.com</cp:lastModifiedBy>
  <cp:revision>20</cp:revision>
  <cp:lastPrinted>2023-02-22T10:40:00Z</cp:lastPrinted>
  <dcterms:created xsi:type="dcterms:W3CDTF">2023-02-28T08:21:00Z</dcterms:created>
  <dcterms:modified xsi:type="dcterms:W3CDTF">2023-03-07T10:24:00Z</dcterms:modified>
</cp:coreProperties>
</file>