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535" w:rsidRDefault="00FB0535" w:rsidP="00FB0535">
      <w:pPr>
        <w:tabs>
          <w:tab w:val="left" w:pos="5445"/>
        </w:tabs>
        <w:suppressAutoHyphens/>
        <w:spacing w:after="200" w:line="276" w:lineRule="auto"/>
        <w:ind w:firstLine="567"/>
        <w:rPr>
          <w:rFonts w:ascii="Times New Roman" w:eastAsia="Times New Roman" w:hAnsi="Times New Roman" w:cs="Times New Roman"/>
          <w:b/>
          <w:bCs/>
          <w:spacing w:val="20"/>
          <w:sz w:val="48"/>
          <w:szCs w:val="48"/>
          <w:lang w:eastAsia="ru-RU"/>
        </w:rPr>
      </w:pPr>
    </w:p>
    <w:p w:rsidR="00FB0535" w:rsidRPr="00FB0535" w:rsidRDefault="00FB0535" w:rsidP="00FB053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</w:rPr>
      </w:pPr>
      <w:bookmarkStart w:id="0" w:name="_GoBack"/>
      <w:bookmarkEnd w:id="0"/>
      <w:r w:rsidRPr="00FB0535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</w:rPr>
        <w:t xml:space="preserve">Пояснювальна записка </w:t>
      </w:r>
    </w:p>
    <w:p w:rsidR="00FB0535" w:rsidRPr="00FB0535" w:rsidRDefault="00FB0535" w:rsidP="00FB053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</w:rPr>
      </w:pPr>
      <w:r w:rsidRPr="00FB0535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</w:rPr>
        <w:t xml:space="preserve">до проєкту рішення Київської міської ради </w:t>
      </w:r>
      <w:r w:rsidRPr="00FB0535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uk-UA" w:bidi="uk-UA"/>
        </w:rPr>
        <w:t>«</w:t>
      </w:r>
      <w:r w:rsidRPr="00FB0535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uk-UA" w:bidi="uk-UA"/>
        </w:rPr>
        <w:t xml:space="preserve">Про внесення змін у додаток </w:t>
      </w:r>
      <w:r w:rsidRPr="00FB0535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до рішення Київської міської ради  від 14 грудня 2023 року  № 7561/7602 «Про затвердження плану діяльності Київської міської ради з підготовки проєктів регуляторних актів на 2024 рік»</w:t>
      </w:r>
    </w:p>
    <w:p w:rsidR="00FB0535" w:rsidRPr="00FB0535" w:rsidRDefault="00FB0535" w:rsidP="00FB053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</w:p>
    <w:p w:rsidR="00FB0535" w:rsidRPr="00FB0535" w:rsidRDefault="00FB0535" w:rsidP="00FB053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</w:rPr>
      </w:pPr>
      <w:r w:rsidRPr="00FB0535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</w:rPr>
        <w:t>1. Обґрунтування необхідності прийняття рішення</w:t>
      </w:r>
    </w:p>
    <w:p w:rsidR="00FB0535" w:rsidRPr="00FB0535" w:rsidRDefault="00FB0535" w:rsidP="00FB0535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</w:rPr>
      </w:pPr>
    </w:p>
    <w:p w:rsidR="00FB0535" w:rsidRPr="00FB0535" w:rsidRDefault="00FB0535" w:rsidP="00FB0535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  <w:r w:rsidRPr="00FB0535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 xml:space="preserve">Законодавством України про державну регуляторну політику визначено основні правові та організаційні засади її реалізації у сфері господарської діяльності. </w:t>
      </w:r>
    </w:p>
    <w:p w:rsidR="00FB0535" w:rsidRPr="00FB0535" w:rsidRDefault="00FB0535" w:rsidP="00FB0535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  <w:r w:rsidRPr="00FB0535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>Норми статті 32 Закону України  «Про засади державної регуляторної політики у сфері господарської діяльності» встановлюють особливості планування діяльності органів та посадових осіб місцевого самоврядування з підготовки проєктів регуляторних актів.</w:t>
      </w:r>
    </w:p>
    <w:p w:rsidR="00FB0535" w:rsidRPr="00FB0535" w:rsidRDefault="00FB0535" w:rsidP="00FB0535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  <w:r w:rsidRPr="00FB0535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>Відповідно до положень вказаної статті Закону передбачено, що планування діяльності сільських, селищних, міських, районних у містах та обласних рад з підготовки проєктів регуляторних актів здійснюється в рамках підготовки та затвердження планів роботи відповідних рад у порядку, встановленому Законом України «Про місцеве самоврядування в Україні» та регламентами відповідних рад з урахуванням частин третьої та четвертої статті 7 Закону України «Про засади державної регуляторної політики у сфері господарської діяльності».</w:t>
      </w:r>
    </w:p>
    <w:p w:rsidR="00FB0535" w:rsidRPr="00FB0535" w:rsidRDefault="00FB0535" w:rsidP="00FB0535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</w:p>
    <w:p w:rsidR="00FB0535" w:rsidRPr="00FB0535" w:rsidRDefault="00FB0535" w:rsidP="00FB053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  <w:r w:rsidRPr="00FB0535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</w:rPr>
        <w:t>2. Мета і шляхи її досягнення</w:t>
      </w:r>
    </w:p>
    <w:p w:rsidR="00FB0535" w:rsidRPr="00FB0535" w:rsidRDefault="00FB0535" w:rsidP="00FB0535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</w:p>
    <w:p w:rsidR="00FB0535" w:rsidRPr="00FB0535" w:rsidRDefault="00FB0535" w:rsidP="00FB0535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  <w:r w:rsidRPr="00FB0535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>Метою прийняття рішення є планування діяльності Київської міської ради з підготовки проєктів регуляторних актів на 2024 рік для забезпечення здійснення державної регуляторної політики у м. Києві.</w:t>
      </w:r>
    </w:p>
    <w:p w:rsidR="00FB0535" w:rsidRPr="00FB0535" w:rsidRDefault="00FB0535" w:rsidP="00FB0535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</w:p>
    <w:p w:rsidR="00FB0535" w:rsidRPr="00FB0535" w:rsidRDefault="00FB0535" w:rsidP="00FB053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  <w:r w:rsidRPr="00FB0535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</w:rPr>
        <w:t>3. Правові аспекти</w:t>
      </w:r>
    </w:p>
    <w:p w:rsidR="00FB0535" w:rsidRPr="00FB0535" w:rsidRDefault="00FB0535" w:rsidP="00FB0535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</w:p>
    <w:p w:rsidR="00FB0535" w:rsidRPr="00FB0535" w:rsidRDefault="00FB0535" w:rsidP="00FB0535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  <w:r w:rsidRPr="00FB0535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>Проєкт рішення Київради розроблено відповідно до Законів України «Про місцеве самоврядування в Україні», «Про засади державної регуляторної політики  у сфері господарської діяльності».</w:t>
      </w:r>
    </w:p>
    <w:p w:rsidR="00FB0535" w:rsidRPr="00FB0535" w:rsidRDefault="00FB0535" w:rsidP="00FB0535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  <w:r w:rsidRPr="00FB0535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>Проєкт рішення не містить інформації з обмеженим доступом у розумінні статті 6 Закону України «Про доступ до публічної інформації».</w:t>
      </w:r>
    </w:p>
    <w:p w:rsidR="00FB0535" w:rsidRPr="00FB0535" w:rsidRDefault="00FB0535" w:rsidP="00FB0535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  <w:r w:rsidRPr="00FB0535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:rsidR="00FB0535" w:rsidRPr="00FB0535" w:rsidRDefault="00FB0535" w:rsidP="00FB0535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</w:p>
    <w:p w:rsidR="00FB0535" w:rsidRPr="00FB0535" w:rsidRDefault="00FB0535" w:rsidP="00FB053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  <w:r w:rsidRPr="00FB0535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</w:rPr>
        <w:t>4. Фінансово-економічне обґрунтування</w:t>
      </w:r>
    </w:p>
    <w:p w:rsidR="00FB0535" w:rsidRPr="00FB0535" w:rsidRDefault="00FB0535" w:rsidP="00FB0535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</w:p>
    <w:p w:rsidR="00FB0535" w:rsidRPr="00FB0535" w:rsidRDefault="00FB0535" w:rsidP="00FB0535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  <w:r w:rsidRPr="00FB0535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>Прийняття проєкту рішення не потребує матеріальних та інших витрат.</w:t>
      </w:r>
    </w:p>
    <w:p w:rsidR="00FB0535" w:rsidRPr="00FB0535" w:rsidRDefault="00FB0535" w:rsidP="00FB0535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</w:p>
    <w:p w:rsidR="00FB0535" w:rsidRPr="00FB0535" w:rsidRDefault="00FB0535" w:rsidP="00FB053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</w:rPr>
      </w:pPr>
    </w:p>
    <w:p w:rsidR="00FB0535" w:rsidRPr="00FB0535" w:rsidRDefault="00FB0535" w:rsidP="00FB053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</w:rPr>
      </w:pPr>
    </w:p>
    <w:p w:rsidR="00FB0535" w:rsidRPr="00FB0535" w:rsidRDefault="00FB0535" w:rsidP="00FB053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</w:rPr>
      </w:pPr>
      <w:r w:rsidRPr="00FB0535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</w:rPr>
        <w:t>5. Позиція заінтересованих органів</w:t>
      </w:r>
    </w:p>
    <w:p w:rsidR="00FB0535" w:rsidRPr="00FB0535" w:rsidRDefault="00FB0535" w:rsidP="00FB0535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</w:rPr>
      </w:pPr>
    </w:p>
    <w:p w:rsidR="00FB0535" w:rsidRPr="00FB0535" w:rsidRDefault="00FB0535" w:rsidP="00FB0535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  <w:r w:rsidRPr="00FB0535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>Проєкт рішення не зачіпає інтересів інших органів.</w:t>
      </w:r>
    </w:p>
    <w:p w:rsidR="00FB0535" w:rsidRPr="00FB0535" w:rsidRDefault="00FB0535" w:rsidP="00FB053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</w:p>
    <w:p w:rsidR="00FB0535" w:rsidRPr="00FB0535" w:rsidRDefault="00FB0535" w:rsidP="00FB053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  <w:r w:rsidRPr="00FB0535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</w:rPr>
        <w:t>6. Регіональний аспект.</w:t>
      </w:r>
    </w:p>
    <w:p w:rsidR="00FB0535" w:rsidRPr="00FB0535" w:rsidRDefault="00FB0535" w:rsidP="00FB0535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</w:p>
    <w:p w:rsidR="00FB0535" w:rsidRPr="00FB0535" w:rsidRDefault="00FB0535" w:rsidP="00FB0535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  <w:r w:rsidRPr="00FB0535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>Проєкт рішення не стосується питання розвитку адміністративно-територіальної одиниці.</w:t>
      </w:r>
    </w:p>
    <w:p w:rsidR="00FB0535" w:rsidRPr="00FB0535" w:rsidRDefault="00FB0535" w:rsidP="00FB0535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</w:p>
    <w:p w:rsidR="00FB0535" w:rsidRPr="00FB0535" w:rsidRDefault="00FB0535" w:rsidP="00FB053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  <w:r w:rsidRPr="00FB0535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</w:rPr>
        <w:t>7. Громадське обговорення</w:t>
      </w:r>
    </w:p>
    <w:p w:rsidR="00FB0535" w:rsidRPr="00FB0535" w:rsidRDefault="00FB0535" w:rsidP="00FB0535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</w:p>
    <w:p w:rsidR="00FB0535" w:rsidRPr="00FB0535" w:rsidRDefault="00FB0535" w:rsidP="00FB0535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  <w:r w:rsidRPr="00FB0535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>Проєкт рішення не потребує громадського обговорення.</w:t>
      </w:r>
    </w:p>
    <w:p w:rsidR="00FB0535" w:rsidRPr="00FB0535" w:rsidRDefault="00FB0535" w:rsidP="00FB0535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</w:p>
    <w:p w:rsidR="00FB0535" w:rsidRPr="00FB0535" w:rsidRDefault="00FB0535" w:rsidP="00FB053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  <w:r w:rsidRPr="00FB0535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</w:rPr>
        <w:t>8. Прогноз результатів</w:t>
      </w:r>
    </w:p>
    <w:p w:rsidR="00FB0535" w:rsidRPr="00FB0535" w:rsidRDefault="00FB0535" w:rsidP="00FB0535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</w:p>
    <w:p w:rsidR="00FB0535" w:rsidRPr="00FB0535" w:rsidRDefault="00FB0535" w:rsidP="00FB0535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  <w:r w:rsidRPr="00FB0535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>Прийняття проєкту рішення дозволить спрогнозувати та запланувати на 2024 рік кількість проєктів регуляторних актів та відповідних доповнень до діючих нормативно-правових актів, які будуть вноситись на розгляд Київської міської ради, як регуляторного органу.</w:t>
      </w:r>
    </w:p>
    <w:p w:rsidR="00FB0535" w:rsidRPr="00FB0535" w:rsidRDefault="00FB0535" w:rsidP="00FB0535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</w:p>
    <w:p w:rsidR="00FB0535" w:rsidRPr="00FB0535" w:rsidRDefault="00FB0535" w:rsidP="00FB053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</w:rPr>
      </w:pPr>
      <w:r w:rsidRPr="00FB0535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</w:rPr>
        <w:t>9. Суб’єкт подання</w:t>
      </w:r>
    </w:p>
    <w:p w:rsidR="00FB0535" w:rsidRPr="00FB0535" w:rsidRDefault="00FB0535" w:rsidP="00FB0535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  <w:r w:rsidRPr="00FB0535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>Суб’єктом подання даного проєкту рішення є постійна комісія Київської міської ради з питань власності та регуляторної політики.</w:t>
      </w:r>
    </w:p>
    <w:p w:rsidR="00FB0535" w:rsidRPr="00FB0535" w:rsidRDefault="00FB0535" w:rsidP="00FB0535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</w:p>
    <w:p w:rsidR="00FB0535" w:rsidRPr="00FB0535" w:rsidRDefault="00FB0535" w:rsidP="00FB0535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  <w:r w:rsidRPr="00FB0535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 xml:space="preserve">Доповідач на пленарному засіданні Київської міської ради: голова постійної комісії Київської міської ради з питань власності та регуляторної політики – Михайло ПРИСЯЖНЮК (м. Київ, вул. Хрещатик, 36, </w:t>
      </w:r>
      <w:proofErr w:type="spellStart"/>
      <w:r w:rsidRPr="00FB0535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>тел</w:t>
      </w:r>
      <w:proofErr w:type="spellEnd"/>
      <w:r w:rsidRPr="00FB0535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>. 202-70-52).</w:t>
      </w:r>
    </w:p>
    <w:p w:rsidR="00FB0535" w:rsidRPr="00FB0535" w:rsidRDefault="00FB0535" w:rsidP="00FB053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pacing w:val="-6"/>
          <w:sz w:val="28"/>
          <w:szCs w:val="28"/>
          <w:lang w:eastAsia="ru-RU"/>
        </w:rPr>
      </w:pPr>
    </w:p>
    <w:p w:rsidR="00FB0535" w:rsidRPr="00FB0535" w:rsidRDefault="00FB0535" w:rsidP="00FB053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pacing w:val="-6"/>
          <w:sz w:val="28"/>
          <w:szCs w:val="28"/>
          <w:lang w:eastAsia="ru-RU"/>
        </w:rPr>
      </w:pPr>
    </w:p>
    <w:p w:rsidR="00FB0535" w:rsidRPr="00FB0535" w:rsidRDefault="00FB0535" w:rsidP="00FB053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pacing w:val="-6"/>
          <w:sz w:val="28"/>
          <w:szCs w:val="28"/>
          <w:lang w:eastAsia="ru-RU"/>
        </w:rPr>
      </w:pPr>
    </w:p>
    <w:p w:rsidR="00FB0535" w:rsidRPr="00FB0535" w:rsidRDefault="00FB0535" w:rsidP="00FB053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  <w:r w:rsidRPr="00FB0535">
        <w:rPr>
          <w:rFonts w:ascii="Times New Roman" w:eastAsia="Times New Roman" w:hAnsi="Times New Roman" w:cs="Times New Roman"/>
          <w:color w:val="00000A"/>
          <w:spacing w:val="-6"/>
          <w:sz w:val="28"/>
          <w:szCs w:val="28"/>
          <w:lang w:eastAsia="ru-RU"/>
        </w:rPr>
        <w:t xml:space="preserve">Голова комісії        </w:t>
      </w:r>
      <w:r w:rsidRPr="00FB0535">
        <w:rPr>
          <w:rFonts w:ascii="Times New Roman" w:eastAsia="Times New Roman" w:hAnsi="Times New Roman" w:cs="Times New Roman"/>
          <w:color w:val="00000A"/>
          <w:spacing w:val="-6"/>
          <w:sz w:val="28"/>
          <w:szCs w:val="28"/>
          <w:lang w:eastAsia="ru-RU"/>
        </w:rPr>
        <w:tab/>
        <w:t xml:space="preserve">                                </w:t>
      </w:r>
      <w:r w:rsidRPr="00FB0535">
        <w:rPr>
          <w:rFonts w:ascii="Times New Roman" w:eastAsia="Times New Roman" w:hAnsi="Times New Roman" w:cs="Times New Roman"/>
          <w:color w:val="00000A"/>
          <w:spacing w:val="-6"/>
          <w:sz w:val="28"/>
          <w:szCs w:val="28"/>
          <w:lang w:val="ru-RU" w:eastAsia="ru-RU"/>
        </w:rPr>
        <w:t xml:space="preserve"> </w:t>
      </w:r>
      <w:r w:rsidRPr="00FB0535">
        <w:rPr>
          <w:rFonts w:ascii="Times New Roman" w:eastAsia="Times New Roman" w:hAnsi="Times New Roman" w:cs="Times New Roman"/>
          <w:color w:val="00000A"/>
          <w:spacing w:val="-6"/>
          <w:sz w:val="28"/>
          <w:szCs w:val="28"/>
          <w:lang w:val="ru-RU" w:eastAsia="ru-RU"/>
        </w:rPr>
        <w:tab/>
      </w:r>
      <w:r w:rsidRPr="00FB0535">
        <w:rPr>
          <w:rFonts w:ascii="Times New Roman" w:eastAsia="Times New Roman" w:hAnsi="Times New Roman" w:cs="Times New Roman"/>
          <w:color w:val="00000A"/>
          <w:spacing w:val="-6"/>
          <w:sz w:val="28"/>
          <w:szCs w:val="28"/>
          <w:lang w:val="ru-RU" w:eastAsia="ru-RU"/>
        </w:rPr>
        <w:tab/>
      </w:r>
      <w:r w:rsidRPr="00FB0535">
        <w:rPr>
          <w:rFonts w:ascii="Times New Roman" w:eastAsia="Times New Roman" w:hAnsi="Times New Roman" w:cs="Times New Roman"/>
          <w:color w:val="00000A"/>
          <w:spacing w:val="-6"/>
          <w:sz w:val="28"/>
          <w:szCs w:val="28"/>
          <w:lang w:eastAsia="ru-RU"/>
        </w:rPr>
        <w:t xml:space="preserve"> </w:t>
      </w:r>
      <w:r w:rsidRPr="00FB0535">
        <w:rPr>
          <w:rFonts w:ascii="Times New Roman" w:eastAsia="Times New Roman" w:hAnsi="Times New Roman" w:cs="Times New Roman"/>
          <w:color w:val="00000A"/>
          <w:spacing w:val="-6"/>
          <w:sz w:val="28"/>
          <w:szCs w:val="28"/>
          <w:lang w:val="ru-RU" w:eastAsia="ru-RU"/>
        </w:rPr>
        <w:t xml:space="preserve">     </w:t>
      </w:r>
      <w:r w:rsidRPr="00FB0535">
        <w:rPr>
          <w:rFonts w:ascii="Times New Roman" w:eastAsia="Times New Roman" w:hAnsi="Times New Roman" w:cs="Times New Roman"/>
          <w:color w:val="00000A"/>
          <w:spacing w:val="-6"/>
          <w:sz w:val="28"/>
          <w:szCs w:val="28"/>
          <w:lang w:eastAsia="ru-RU"/>
        </w:rPr>
        <w:t>Михайло ПРИСЯЖНЮК</w:t>
      </w:r>
    </w:p>
    <w:p w:rsidR="00FB0535" w:rsidRPr="00FB0535" w:rsidRDefault="00FB0535" w:rsidP="00FB0535">
      <w:pPr>
        <w:suppressAutoHyphens/>
        <w:spacing w:after="0" w:line="240" w:lineRule="auto"/>
        <w:ind w:firstLine="851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</w:p>
    <w:p w:rsidR="00FB0535" w:rsidRPr="00FB0535" w:rsidRDefault="00FB0535" w:rsidP="00FB0535">
      <w:pPr>
        <w:suppressAutoHyphens/>
        <w:spacing w:after="200" w:line="276" w:lineRule="auto"/>
        <w:rPr>
          <w:rFonts w:ascii="Calibri" w:eastAsia="Calibri" w:hAnsi="Calibri" w:cs="Calibri"/>
          <w:color w:val="00000A"/>
        </w:rPr>
      </w:pPr>
    </w:p>
    <w:p w:rsidR="00FB7B1B" w:rsidRDefault="00FB7B1B"/>
    <w:sectPr w:rsidR="00FB7B1B" w:rsidSect="00AE53F3">
      <w:footerReference w:type="default" r:id="rId5"/>
      <w:pgSz w:w="11906" w:h="16838"/>
      <w:pgMar w:top="850" w:right="851" w:bottom="850" w:left="1701" w:header="709" w:footer="709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471" w:rsidRDefault="00FB0535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A12AE"/>
    <w:multiLevelType w:val="hybridMultilevel"/>
    <w:tmpl w:val="A17A57A0"/>
    <w:lvl w:ilvl="0" w:tplc="D7D82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35"/>
    <w:rsid w:val="00FB0535"/>
    <w:rsid w:val="00FB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141C70"/>
  <w15:chartTrackingRefBased/>
  <w15:docId w15:val="{44363EE4-DDD7-4220-A613-88FBE650C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жний колонтитул"/>
    <w:basedOn w:val="a"/>
    <w:uiPriority w:val="99"/>
    <w:unhideWhenUsed/>
    <w:rsid w:val="00FB053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1965</Words>
  <Characters>1121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Chumachenko Alla</dc:creator>
  <cp:keywords/>
  <dc:description/>
  <cp:lastModifiedBy>Chumachenko Alla</cp:lastModifiedBy>
  <cp:revision>1</cp:revision>
  <dcterms:created xsi:type="dcterms:W3CDTF">2024-03-19T08:49:00Z</dcterms:created>
  <dcterms:modified xsi:type="dcterms:W3CDTF">2024-03-19T08:52:00Z</dcterms:modified>
</cp:coreProperties>
</file>