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49E3" w:rsidRPr="00A0502A" w:rsidRDefault="00A349E3" w:rsidP="00681493">
      <w:pPr>
        <w:spacing w:after="0"/>
        <w:jc w:val="center"/>
        <w:rPr>
          <w:rFonts w:ascii="Times New Roman" w:hAnsi="Times New Roman"/>
          <w:b/>
          <w:sz w:val="27"/>
          <w:szCs w:val="27"/>
        </w:rPr>
      </w:pPr>
      <w:r w:rsidRPr="00A0502A">
        <w:rPr>
          <w:rFonts w:ascii="Times New Roman" w:hAnsi="Times New Roman"/>
          <w:b/>
          <w:sz w:val="27"/>
          <w:szCs w:val="27"/>
        </w:rPr>
        <w:t>ПОЯСНЮВАЛЬНА ЗАПИСКА</w:t>
      </w:r>
    </w:p>
    <w:p w:rsidR="00A349E3" w:rsidRPr="00F21650" w:rsidRDefault="00A349E3" w:rsidP="00A349E3">
      <w:pPr>
        <w:spacing w:after="0"/>
        <w:jc w:val="center"/>
        <w:rPr>
          <w:rFonts w:ascii="Times New Roman" w:hAnsi="Times New Roman"/>
          <w:sz w:val="28"/>
          <w:szCs w:val="28"/>
        </w:rPr>
      </w:pPr>
      <w:r w:rsidRPr="00F21650">
        <w:rPr>
          <w:rFonts w:ascii="Times New Roman" w:hAnsi="Times New Roman"/>
          <w:sz w:val="28"/>
          <w:szCs w:val="28"/>
        </w:rPr>
        <w:t>до проекту рішення Київської міської ради «</w:t>
      </w:r>
      <w:r w:rsidR="0029788D" w:rsidRPr="00F21650">
        <w:rPr>
          <w:rFonts w:ascii="Times New Roman" w:hAnsi="Times New Roman"/>
          <w:sz w:val="28"/>
          <w:szCs w:val="28"/>
        </w:rPr>
        <w:t>Про збільшення розміру статутних капіталів комунальних підприємств – керуючих компаній з обслуговування житлового фонду районів м. Києва</w:t>
      </w:r>
      <w:r w:rsidR="00A739D9" w:rsidRPr="00F21650">
        <w:rPr>
          <w:rFonts w:ascii="Times New Roman" w:hAnsi="Times New Roman"/>
          <w:sz w:val="28"/>
          <w:szCs w:val="28"/>
        </w:rPr>
        <w:t>»</w:t>
      </w:r>
    </w:p>
    <w:p w:rsidR="00A349E3" w:rsidRPr="00F21650" w:rsidRDefault="00A349E3" w:rsidP="00A349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A349E3" w:rsidRPr="00F21650" w:rsidRDefault="00A349E3" w:rsidP="00A0502A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 w:rsidRPr="00F21650">
        <w:rPr>
          <w:rFonts w:ascii="Times New Roman" w:hAnsi="Times New Roman"/>
          <w:b/>
          <w:sz w:val="28"/>
          <w:szCs w:val="28"/>
        </w:rPr>
        <w:t>1. Обґрунтування необхідності прийняття рішення</w:t>
      </w:r>
    </w:p>
    <w:p w:rsidR="00A349E3" w:rsidRPr="00F21650" w:rsidRDefault="00A349E3" w:rsidP="00A349E3">
      <w:pPr>
        <w:spacing w:after="0"/>
        <w:jc w:val="both"/>
        <w:rPr>
          <w:rFonts w:ascii="Times New Roman" w:hAnsi="Times New Roman"/>
          <w:sz w:val="28"/>
          <w:szCs w:val="28"/>
        </w:rPr>
      </w:pPr>
    </w:p>
    <w:p w:rsidR="008D5FCC" w:rsidRPr="00F21650" w:rsidRDefault="008D5FCC" w:rsidP="008D5FCC">
      <w:pPr>
        <w:pStyle w:val="a6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21650">
        <w:rPr>
          <w:rFonts w:eastAsia="Calibri"/>
          <w:sz w:val="28"/>
          <w:szCs w:val="28"/>
          <w:lang w:eastAsia="en-US"/>
        </w:rPr>
        <w:t>На сьогодні комунальні підприємства «Керуючі компанії з обслуговування житлового фонду м. Києва» (далі – підприємства) на виконання вимог Закону України «Про житлово-комунальні послуги» продовжують надавати послуги з утримання будинків, споруд та прибудинкових територій в межах вартості, встановленої на момент останнього затвердження тарифів, а саме, станом на 1 липня 2017 року, оскільки дотепер співвласники більшості житлових будинків міста Києва не визначилися з формою управління будинком та не обрали управителя.</w:t>
      </w:r>
    </w:p>
    <w:p w:rsidR="00305739" w:rsidRPr="00F21650" w:rsidRDefault="00305739" w:rsidP="00305739">
      <w:pPr>
        <w:pStyle w:val="a6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21650">
        <w:rPr>
          <w:rFonts w:eastAsia="Calibri"/>
          <w:sz w:val="28"/>
          <w:szCs w:val="28"/>
          <w:lang w:eastAsia="en-US"/>
        </w:rPr>
        <w:t xml:space="preserve">У свою чергу, підприємства надають послуги з утримання будинків, споруд та прибудинкових територій відповідно до нормативів, норм, стандартів, порядків і правил згідно із чинним законодавством України та забезпечує надання всього переліку послуг, що були враховані при розрахунку тарифів. </w:t>
      </w:r>
    </w:p>
    <w:p w:rsidR="00305739" w:rsidRPr="00F21650" w:rsidRDefault="00305739" w:rsidP="00305739">
      <w:pPr>
        <w:pStyle w:val="a6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21650">
        <w:rPr>
          <w:rFonts w:eastAsia="Calibri"/>
          <w:sz w:val="28"/>
          <w:szCs w:val="28"/>
          <w:lang w:eastAsia="en-US"/>
        </w:rPr>
        <w:t xml:space="preserve">Слід зазначити, що за період з 1 липня 2017 року по теперішній час відбулися суттєві зміни у вартості складових, які лягли в основу розрахунку в 2017 році витрат на надання певних послуг, зокрема, суттєво зросли витрати підприємства на оплату праці, що безпосередньо пов’язано з зростанням розміру державних соціальних гарантій, зокрема мінімального прожиткового мінімуму для працездатних осіб та мінімальної заробітної плати. </w:t>
      </w:r>
    </w:p>
    <w:p w:rsidR="00305739" w:rsidRPr="00F21650" w:rsidRDefault="00305739" w:rsidP="00305739">
      <w:pPr>
        <w:pStyle w:val="a6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21650">
        <w:rPr>
          <w:rFonts w:eastAsia="Calibri"/>
          <w:sz w:val="28"/>
          <w:szCs w:val="28"/>
          <w:lang w:eastAsia="en-US"/>
        </w:rPr>
        <w:t xml:space="preserve">Відповідно Закону України від 09.11.2023 № 3460-IX «Про державний бюджет України на 2024 рік» прожитковий мінімум для працездатних осіб у 2024 році становить - 3 028 грн, а мінімальна заробітна плата - 7 100 грн з 01.01.2024 та                                   8 000 грн з 01.04.2024. У діючій вартості послуг з утримання будинків і споруд та прибудинкових територій враховано прожитковий мінімум для працездатних осіб у розмірі 1 684 грн, а мінімальна заробітна плата - 3 200 грн. Витрати на оплату праці працівників підприємства з відрахуванням на соціальні заходи лише у 2024 році, у порівнянні з 2023 роком, зросли в середньому на 13 %. </w:t>
      </w:r>
    </w:p>
    <w:p w:rsidR="00305739" w:rsidRPr="00F21650" w:rsidRDefault="00305739" w:rsidP="00305739">
      <w:pPr>
        <w:pStyle w:val="a6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21650">
        <w:rPr>
          <w:rFonts w:eastAsia="Calibri"/>
          <w:sz w:val="28"/>
          <w:szCs w:val="28"/>
          <w:lang w:eastAsia="en-US"/>
        </w:rPr>
        <w:t xml:space="preserve">Суттєвим фактором, що також впливає на фінансовий стан підприємств, є збільшення з 01.06.2023 на 57,1 % фіксованої ціни на електричну енергію для побутових споживачів з 1,68 грн/кВт*год до 2,64 грн/кВт*год, порівняно з врахованою у вартості послуг ціною. </w:t>
      </w:r>
    </w:p>
    <w:p w:rsidR="00DD7543" w:rsidRPr="00F21650" w:rsidRDefault="00DD7543" w:rsidP="00DD7543">
      <w:pPr>
        <w:pStyle w:val="a6"/>
        <w:ind w:left="0" w:firstLine="709"/>
        <w:jc w:val="both"/>
        <w:rPr>
          <w:rFonts w:eastAsia="Calibri"/>
          <w:color w:val="000000" w:themeColor="text1"/>
          <w:sz w:val="28"/>
          <w:szCs w:val="28"/>
          <w:lang w:eastAsia="en-US"/>
        </w:rPr>
      </w:pPr>
      <w:r w:rsidRPr="00F21650">
        <w:rPr>
          <w:rFonts w:eastAsia="Calibri"/>
          <w:color w:val="000000" w:themeColor="text1"/>
          <w:sz w:val="28"/>
          <w:szCs w:val="28"/>
          <w:lang w:eastAsia="en-US"/>
        </w:rPr>
        <w:t>Крім того, залишається гострою потребою підприємств недостатність коштів на оновлення матеріально-технічної бази. Для оперативного усунення аварійних ситуацій</w:t>
      </w:r>
      <w:r w:rsidR="00CE7173" w:rsidRPr="00F21650">
        <w:rPr>
          <w:rFonts w:eastAsia="Calibri"/>
          <w:color w:val="000000" w:themeColor="text1"/>
          <w:sz w:val="28"/>
          <w:szCs w:val="28"/>
          <w:lang w:eastAsia="en-US"/>
        </w:rPr>
        <w:t xml:space="preserve"> та забезпечення швидкого відновлення систем теплозабезпечення, водопостачання, водовідведення та кабельних мереж, </w:t>
      </w:r>
      <w:r w:rsidRPr="00F21650">
        <w:rPr>
          <w:rFonts w:eastAsia="Calibri"/>
          <w:color w:val="000000" w:themeColor="text1"/>
          <w:sz w:val="28"/>
          <w:szCs w:val="28"/>
          <w:lang w:eastAsia="en-US"/>
        </w:rPr>
        <w:t xml:space="preserve"> необхідно придбати додаткову техніку (екскаватори укомплектовані спеціальним навісним обладнанням, </w:t>
      </w:r>
      <w:proofErr w:type="spellStart"/>
      <w:r w:rsidRPr="00F21650">
        <w:rPr>
          <w:rFonts w:eastAsia="Calibri"/>
          <w:color w:val="000000" w:themeColor="text1"/>
          <w:sz w:val="28"/>
          <w:szCs w:val="28"/>
          <w:lang w:eastAsia="en-US"/>
        </w:rPr>
        <w:t>автогідропідіймачі</w:t>
      </w:r>
      <w:proofErr w:type="spellEnd"/>
      <w:r w:rsidRPr="00F21650">
        <w:rPr>
          <w:rFonts w:eastAsia="Calibri"/>
          <w:color w:val="000000" w:themeColor="text1"/>
          <w:sz w:val="28"/>
          <w:szCs w:val="28"/>
          <w:lang w:eastAsia="en-US"/>
        </w:rPr>
        <w:t>, гідроманіпулятори, автомобілі спеціалізовані аварійно-ремонтна майстерня</w:t>
      </w:r>
      <w:r w:rsidR="000C6108" w:rsidRPr="00F21650">
        <w:rPr>
          <w:rFonts w:eastAsia="Calibri"/>
          <w:color w:val="000000" w:themeColor="text1"/>
          <w:sz w:val="28"/>
          <w:szCs w:val="28"/>
          <w:lang w:eastAsia="en-US"/>
        </w:rPr>
        <w:t>).</w:t>
      </w:r>
    </w:p>
    <w:p w:rsidR="00BF3E8E" w:rsidRDefault="00C8525A" w:rsidP="008543F4">
      <w:pPr>
        <w:pStyle w:val="a6"/>
        <w:ind w:left="0"/>
        <w:jc w:val="both"/>
        <w:rPr>
          <w:rFonts w:eastAsia="Calibri"/>
          <w:sz w:val="28"/>
          <w:szCs w:val="28"/>
          <w:lang w:eastAsia="en-US"/>
        </w:rPr>
      </w:pPr>
      <w:r w:rsidRPr="00F21650">
        <w:rPr>
          <w:rFonts w:eastAsia="Calibri"/>
          <w:sz w:val="28"/>
          <w:szCs w:val="28"/>
          <w:lang w:eastAsia="en-US"/>
        </w:rPr>
        <w:tab/>
      </w:r>
    </w:p>
    <w:p w:rsidR="00BF3E8E" w:rsidRDefault="00BF3E8E" w:rsidP="008543F4">
      <w:pPr>
        <w:pStyle w:val="a6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BF3E8E" w:rsidRDefault="00BF3E8E" w:rsidP="008543F4">
      <w:pPr>
        <w:pStyle w:val="a6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BF3E8E" w:rsidRDefault="00BF3E8E" w:rsidP="008543F4">
      <w:pPr>
        <w:pStyle w:val="a6"/>
        <w:ind w:left="0"/>
        <w:jc w:val="both"/>
        <w:rPr>
          <w:rFonts w:eastAsia="Calibri"/>
          <w:sz w:val="28"/>
          <w:szCs w:val="28"/>
          <w:lang w:eastAsia="en-US"/>
        </w:rPr>
      </w:pPr>
    </w:p>
    <w:p w:rsidR="00681493" w:rsidRPr="00F21650" w:rsidRDefault="00C8525A" w:rsidP="008543F4">
      <w:pPr>
        <w:pStyle w:val="a6"/>
        <w:ind w:left="0"/>
        <w:jc w:val="both"/>
        <w:rPr>
          <w:sz w:val="28"/>
          <w:szCs w:val="28"/>
        </w:rPr>
      </w:pPr>
      <w:r w:rsidRPr="00F21650">
        <w:rPr>
          <w:rFonts w:eastAsia="Calibri"/>
          <w:sz w:val="28"/>
          <w:szCs w:val="28"/>
          <w:lang w:eastAsia="en-US"/>
        </w:rPr>
        <w:t>Враховуючи зазначене, існує необхідність збільшити статутні капітали комунальних підприємств «Керуюча компанія з обслуговування житлового фонду» на суму 50 000 000,0 грн</w:t>
      </w:r>
      <w:r w:rsidR="00681493" w:rsidRPr="00F21650">
        <w:rPr>
          <w:sz w:val="28"/>
          <w:szCs w:val="28"/>
        </w:rPr>
        <w:t xml:space="preserve"> для </w:t>
      </w:r>
      <w:r w:rsidR="00544776" w:rsidRPr="00F21650">
        <w:rPr>
          <w:sz w:val="28"/>
          <w:szCs w:val="28"/>
        </w:rPr>
        <w:t>попередження кризової ситуації в житловому господарстві, забезпечення надання послуг з утримання та обслуговування житлового фонду належної якості, своєчасної сплати податків та виплати заробітної плати, недопущення виникнення кредиторської заборгованості за електроенергію</w:t>
      </w:r>
      <w:r w:rsidR="00681493" w:rsidRPr="00F21650">
        <w:rPr>
          <w:sz w:val="28"/>
          <w:szCs w:val="28"/>
        </w:rPr>
        <w:t>.</w:t>
      </w:r>
    </w:p>
    <w:p w:rsidR="00A349E3" w:rsidRPr="00F21650" w:rsidRDefault="00A349E3" w:rsidP="008543F4">
      <w:pPr>
        <w:pStyle w:val="a6"/>
        <w:ind w:firstLine="696"/>
        <w:jc w:val="center"/>
        <w:rPr>
          <w:rFonts w:eastAsia="Calibri"/>
          <w:b/>
          <w:sz w:val="28"/>
          <w:szCs w:val="28"/>
          <w:lang w:eastAsia="en-US"/>
        </w:rPr>
      </w:pPr>
      <w:r w:rsidRPr="00F21650">
        <w:rPr>
          <w:rFonts w:eastAsia="Calibri"/>
          <w:b/>
          <w:sz w:val="28"/>
          <w:szCs w:val="28"/>
          <w:lang w:eastAsia="en-US"/>
        </w:rPr>
        <w:t>2. Мета і шляхи її досягнення</w:t>
      </w:r>
      <w:r w:rsidR="00F21650">
        <w:rPr>
          <w:rFonts w:eastAsia="Calibri"/>
          <w:b/>
          <w:sz w:val="28"/>
          <w:szCs w:val="28"/>
          <w:lang w:eastAsia="en-US"/>
        </w:rPr>
        <w:t>.</w:t>
      </w:r>
    </w:p>
    <w:p w:rsidR="00A349E3" w:rsidRPr="00F21650" w:rsidRDefault="00A349E3" w:rsidP="008543F4">
      <w:pPr>
        <w:pStyle w:val="a6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21650">
        <w:rPr>
          <w:rFonts w:eastAsia="Calibri"/>
          <w:sz w:val="28"/>
          <w:szCs w:val="28"/>
          <w:lang w:eastAsia="en-US"/>
        </w:rPr>
        <w:t xml:space="preserve">Метою та завданням прийняття проекту рішення є забезпечення містом безперебійності надання населенню міста послуг </w:t>
      </w:r>
      <w:r w:rsidR="001F7965" w:rsidRPr="00F21650">
        <w:rPr>
          <w:rFonts w:eastAsia="Calibri"/>
          <w:sz w:val="28"/>
          <w:szCs w:val="28"/>
          <w:lang w:eastAsia="en-US"/>
        </w:rPr>
        <w:t>з утримання та обслуговування житлового фонду</w:t>
      </w:r>
      <w:r w:rsidR="00681493" w:rsidRPr="00F21650">
        <w:rPr>
          <w:rFonts w:eastAsia="Calibri"/>
          <w:sz w:val="28"/>
          <w:szCs w:val="28"/>
          <w:lang w:eastAsia="en-US"/>
        </w:rPr>
        <w:t xml:space="preserve">. </w:t>
      </w:r>
    </w:p>
    <w:p w:rsidR="00CB0259" w:rsidRPr="00F21650" w:rsidRDefault="00CB0259" w:rsidP="008543F4">
      <w:pPr>
        <w:pStyle w:val="a6"/>
        <w:ind w:left="0" w:firstLine="709"/>
        <w:jc w:val="both"/>
        <w:rPr>
          <w:rFonts w:eastAsia="Calibri"/>
          <w:sz w:val="28"/>
          <w:szCs w:val="28"/>
          <w:lang w:eastAsia="en-US"/>
        </w:rPr>
      </w:pPr>
    </w:p>
    <w:p w:rsidR="00CB0259" w:rsidRPr="00F21650" w:rsidRDefault="00CB0259" w:rsidP="008543F4">
      <w:pPr>
        <w:pStyle w:val="a6"/>
        <w:ind w:left="0" w:firstLine="709"/>
        <w:jc w:val="both"/>
        <w:rPr>
          <w:rFonts w:eastAsia="Calibri"/>
          <w:sz w:val="28"/>
          <w:szCs w:val="28"/>
          <w:lang w:eastAsia="en-US"/>
        </w:rPr>
      </w:pPr>
    </w:p>
    <w:p w:rsidR="00A349E3" w:rsidRPr="00F21650" w:rsidRDefault="00A349E3" w:rsidP="008543F4">
      <w:pPr>
        <w:pStyle w:val="a6"/>
        <w:ind w:firstLine="696"/>
        <w:jc w:val="center"/>
        <w:rPr>
          <w:rFonts w:eastAsia="Calibri"/>
          <w:b/>
          <w:sz w:val="28"/>
          <w:szCs w:val="28"/>
          <w:lang w:val="en-US" w:eastAsia="en-US"/>
        </w:rPr>
      </w:pPr>
      <w:r w:rsidRPr="00F21650">
        <w:rPr>
          <w:rFonts w:eastAsia="Calibri"/>
          <w:b/>
          <w:sz w:val="28"/>
          <w:szCs w:val="28"/>
          <w:lang w:eastAsia="en-US"/>
        </w:rPr>
        <w:t>3. Правові аспекти</w:t>
      </w:r>
      <w:r w:rsidR="00F21650">
        <w:rPr>
          <w:rFonts w:eastAsia="Calibri"/>
          <w:b/>
          <w:sz w:val="28"/>
          <w:szCs w:val="28"/>
          <w:lang w:eastAsia="en-US"/>
        </w:rPr>
        <w:t>.</w:t>
      </w:r>
    </w:p>
    <w:p w:rsidR="00A349E3" w:rsidRPr="00F21650" w:rsidRDefault="00A349E3" w:rsidP="008543F4">
      <w:pPr>
        <w:pStyle w:val="a6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21650">
        <w:rPr>
          <w:rFonts w:eastAsia="Calibri"/>
          <w:sz w:val="28"/>
          <w:szCs w:val="28"/>
          <w:lang w:eastAsia="en-US"/>
        </w:rPr>
        <w:t>Проект рішення Київської міської ради «</w:t>
      </w:r>
      <w:r w:rsidR="0029788D" w:rsidRPr="00F21650">
        <w:rPr>
          <w:rFonts w:eastAsia="Calibri"/>
          <w:sz w:val="28"/>
          <w:szCs w:val="28"/>
          <w:lang w:eastAsia="en-US"/>
        </w:rPr>
        <w:t>Про збільшення розміру статутних капіталів комунальних підприємств – керуючих компаній з обслуговування житлового фонду районів м. Києва</w:t>
      </w:r>
      <w:r w:rsidRPr="00F21650">
        <w:rPr>
          <w:rFonts w:eastAsia="Calibri"/>
          <w:sz w:val="28"/>
          <w:szCs w:val="28"/>
          <w:lang w:eastAsia="en-US"/>
        </w:rPr>
        <w:t>» розроблено відповідно до статті 57, частини четвертої статті 78 Господарського кодексу</w:t>
      </w:r>
      <w:r w:rsidR="008543F4" w:rsidRPr="00F21650">
        <w:rPr>
          <w:rFonts w:eastAsia="Calibri"/>
          <w:sz w:val="28"/>
          <w:szCs w:val="28"/>
          <w:lang w:eastAsia="en-US"/>
        </w:rPr>
        <w:t xml:space="preserve"> </w:t>
      </w:r>
      <w:r w:rsidRPr="00F21650">
        <w:rPr>
          <w:rFonts w:eastAsia="Calibri"/>
          <w:sz w:val="28"/>
          <w:szCs w:val="28"/>
          <w:lang w:eastAsia="en-US"/>
        </w:rPr>
        <w:t>України, частини п'ятої статті 60 Закону України «Про місцеве самоврядування в Україні»</w:t>
      </w:r>
      <w:r w:rsidR="00681493" w:rsidRPr="00F21650">
        <w:rPr>
          <w:rFonts w:eastAsia="Calibri"/>
          <w:sz w:val="28"/>
          <w:szCs w:val="28"/>
          <w:lang w:eastAsia="en-US"/>
        </w:rPr>
        <w:t xml:space="preserve">. </w:t>
      </w:r>
    </w:p>
    <w:p w:rsidR="00A349E3" w:rsidRPr="00F21650" w:rsidRDefault="00A349E3" w:rsidP="00A0502A">
      <w:pPr>
        <w:pStyle w:val="a6"/>
        <w:ind w:firstLine="696"/>
        <w:jc w:val="both"/>
        <w:rPr>
          <w:rFonts w:eastAsia="Calibri"/>
          <w:sz w:val="28"/>
          <w:szCs w:val="28"/>
          <w:lang w:eastAsia="en-US"/>
        </w:rPr>
      </w:pPr>
      <w:r w:rsidRPr="00F21650">
        <w:rPr>
          <w:rFonts w:eastAsia="Calibri"/>
          <w:sz w:val="28"/>
          <w:szCs w:val="28"/>
          <w:lang w:eastAsia="en-US"/>
        </w:rPr>
        <w:tab/>
      </w:r>
      <w:r w:rsidRPr="00F21650">
        <w:rPr>
          <w:rFonts w:eastAsia="Calibri"/>
          <w:sz w:val="28"/>
          <w:szCs w:val="28"/>
          <w:lang w:eastAsia="en-US"/>
        </w:rPr>
        <w:tab/>
      </w:r>
      <w:r w:rsidRPr="00F21650">
        <w:rPr>
          <w:rFonts w:eastAsia="Calibri"/>
          <w:sz w:val="28"/>
          <w:szCs w:val="28"/>
          <w:lang w:eastAsia="en-US"/>
        </w:rPr>
        <w:tab/>
      </w:r>
      <w:r w:rsidRPr="00F21650">
        <w:rPr>
          <w:rFonts w:eastAsia="Calibri"/>
          <w:sz w:val="28"/>
          <w:szCs w:val="28"/>
          <w:lang w:eastAsia="en-US"/>
        </w:rPr>
        <w:tab/>
      </w:r>
    </w:p>
    <w:p w:rsidR="00A349E3" w:rsidRPr="00F21650" w:rsidRDefault="00A349E3" w:rsidP="008543F4">
      <w:pPr>
        <w:pStyle w:val="a6"/>
        <w:ind w:firstLine="696"/>
        <w:jc w:val="center"/>
        <w:rPr>
          <w:rFonts w:eastAsia="Calibri"/>
          <w:b/>
          <w:sz w:val="28"/>
          <w:szCs w:val="28"/>
          <w:lang w:eastAsia="en-US"/>
        </w:rPr>
      </w:pPr>
      <w:r w:rsidRPr="00F21650">
        <w:rPr>
          <w:rFonts w:eastAsia="Calibri"/>
          <w:b/>
          <w:sz w:val="28"/>
          <w:szCs w:val="28"/>
          <w:lang w:eastAsia="en-US"/>
        </w:rPr>
        <w:t>4. Фінансово-економічне обґрунтування</w:t>
      </w:r>
      <w:r w:rsidR="00F21650">
        <w:rPr>
          <w:rFonts w:eastAsia="Calibri"/>
          <w:b/>
          <w:sz w:val="28"/>
          <w:szCs w:val="28"/>
          <w:lang w:eastAsia="en-US"/>
        </w:rPr>
        <w:t>.</w:t>
      </w:r>
    </w:p>
    <w:p w:rsidR="00A349E3" w:rsidRPr="00F21650" w:rsidRDefault="00A349E3" w:rsidP="008543F4">
      <w:pPr>
        <w:pStyle w:val="a6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21650">
        <w:rPr>
          <w:rFonts w:eastAsia="Calibri"/>
          <w:sz w:val="28"/>
          <w:szCs w:val="28"/>
          <w:lang w:eastAsia="en-US"/>
        </w:rPr>
        <w:t>Реалізація рішення потребуватиме виділення коштів із бюджету міста Києва у сумі</w:t>
      </w:r>
      <w:r w:rsidR="00C8525A" w:rsidRPr="00F21650">
        <w:rPr>
          <w:rFonts w:eastAsia="Calibri"/>
          <w:sz w:val="28"/>
          <w:szCs w:val="28"/>
          <w:lang w:eastAsia="en-US"/>
        </w:rPr>
        <w:t xml:space="preserve"> 500 000 000,0 грн</w:t>
      </w:r>
      <w:r w:rsidRPr="00F21650">
        <w:rPr>
          <w:rFonts w:eastAsia="Calibri"/>
          <w:sz w:val="28"/>
          <w:szCs w:val="28"/>
          <w:lang w:eastAsia="en-US"/>
        </w:rPr>
        <w:t>, необхідній для збільшення статутн</w:t>
      </w:r>
      <w:r w:rsidR="00C8525A" w:rsidRPr="00F21650">
        <w:rPr>
          <w:rFonts w:eastAsia="Calibri"/>
          <w:sz w:val="28"/>
          <w:szCs w:val="28"/>
          <w:lang w:eastAsia="en-US"/>
        </w:rPr>
        <w:t>их</w:t>
      </w:r>
      <w:r w:rsidRPr="00F21650">
        <w:rPr>
          <w:rFonts w:eastAsia="Calibri"/>
          <w:sz w:val="28"/>
          <w:szCs w:val="28"/>
          <w:lang w:eastAsia="en-US"/>
        </w:rPr>
        <w:t xml:space="preserve"> капітал</w:t>
      </w:r>
      <w:r w:rsidR="00C8525A" w:rsidRPr="00F21650">
        <w:rPr>
          <w:rFonts w:eastAsia="Calibri"/>
          <w:sz w:val="28"/>
          <w:szCs w:val="28"/>
          <w:lang w:eastAsia="en-US"/>
        </w:rPr>
        <w:t>ів</w:t>
      </w:r>
      <w:r w:rsidRPr="00F21650">
        <w:rPr>
          <w:rFonts w:eastAsia="Calibri"/>
          <w:sz w:val="28"/>
          <w:szCs w:val="28"/>
          <w:lang w:eastAsia="en-US"/>
        </w:rPr>
        <w:t xml:space="preserve"> </w:t>
      </w:r>
      <w:r w:rsidR="008543F4" w:rsidRPr="00F21650">
        <w:rPr>
          <w:rFonts w:eastAsia="Calibri"/>
          <w:sz w:val="28"/>
          <w:szCs w:val="28"/>
          <w:lang w:eastAsia="en-US"/>
        </w:rPr>
        <w:t xml:space="preserve">                   </w:t>
      </w:r>
      <w:r w:rsidRPr="00F21650">
        <w:rPr>
          <w:rFonts w:eastAsia="Calibri"/>
          <w:sz w:val="28"/>
          <w:szCs w:val="28"/>
          <w:lang w:eastAsia="en-US"/>
        </w:rPr>
        <w:t xml:space="preserve">підприємств. </w:t>
      </w:r>
    </w:p>
    <w:p w:rsidR="005161F5" w:rsidRPr="00F21650" w:rsidRDefault="005161F5" w:rsidP="00A0502A">
      <w:pPr>
        <w:pStyle w:val="a6"/>
        <w:ind w:firstLine="696"/>
        <w:jc w:val="both"/>
        <w:rPr>
          <w:rFonts w:eastAsia="Calibri"/>
          <w:sz w:val="28"/>
          <w:szCs w:val="28"/>
          <w:lang w:eastAsia="en-US"/>
        </w:rPr>
      </w:pPr>
    </w:p>
    <w:p w:rsidR="00A349E3" w:rsidRPr="00F21650" w:rsidRDefault="00A349E3" w:rsidP="008543F4">
      <w:pPr>
        <w:pStyle w:val="a6"/>
        <w:ind w:firstLine="696"/>
        <w:jc w:val="center"/>
        <w:rPr>
          <w:rFonts w:eastAsia="Calibri"/>
          <w:b/>
          <w:sz w:val="28"/>
          <w:szCs w:val="28"/>
          <w:lang w:eastAsia="en-US"/>
        </w:rPr>
      </w:pPr>
      <w:r w:rsidRPr="00F21650">
        <w:rPr>
          <w:rFonts w:eastAsia="Calibri"/>
          <w:b/>
          <w:sz w:val="28"/>
          <w:szCs w:val="28"/>
          <w:lang w:eastAsia="en-US"/>
        </w:rPr>
        <w:t>5. Позиція заінтересованих органів</w:t>
      </w:r>
      <w:r w:rsidR="00F21650">
        <w:rPr>
          <w:rFonts w:eastAsia="Calibri"/>
          <w:b/>
          <w:sz w:val="28"/>
          <w:szCs w:val="28"/>
          <w:lang w:eastAsia="en-US"/>
        </w:rPr>
        <w:t>.</w:t>
      </w:r>
    </w:p>
    <w:p w:rsidR="00A349E3" w:rsidRPr="00F21650" w:rsidRDefault="00A349E3" w:rsidP="008543F4">
      <w:pPr>
        <w:pStyle w:val="a6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21650">
        <w:rPr>
          <w:rFonts w:eastAsia="Calibri"/>
          <w:sz w:val="28"/>
          <w:szCs w:val="28"/>
          <w:lang w:eastAsia="en-US"/>
        </w:rPr>
        <w:t>Проект рішення не стосується інтересів інших органів і не потребує додаткового узгодження.</w:t>
      </w:r>
    </w:p>
    <w:p w:rsidR="005161F5" w:rsidRPr="00F21650" w:rsidRDefault="005161F5" w:rsidP="00A0502A">
      <w:pPr>
        <w:pStyle w:val="a6"/>
        <w:ind w:firstLine="696"/>
        <w:jc w:val="both"/>
        <w:rPr>
          <w:rFonts w:eastAsia="Calibri"/>
          <w:sz w:val="28"/>
          <w:szCs w:val="28"/>
          <w:lang w:eastAsia="en-US"/>
        </w:rPr>
      </w:pPr>
    </w:p>
    <w:p w:rsidR="00A349E3" w:rsidRPr="00F21650" w:rsidRDefault="00A349E3" w:rsidP="008543F4">
      <w:pPr>
        <w:pStyle w:val="a6"/>
        <w:ind w:firstLine="696"/>
        <w:jc w:val="center"/>
        <w:rPr>
          <w:rFonts w:eastAsia="Calibri"/>
          <w:b/>
          <w:sz w:val="28"/>
          <w:szCs w:val="28"/>
          <w:lang w:eastAsia="en-US"/>
        </w:rPr>
      </w:pPr>
      <w:r w:rsidRPr="00F21650">
        <w:rPr>
          <w:rFonts w:eastAsia="Calibri"/>
          <w:b/>
          <w:sz w:val="28"/>
          <w:szCs w:val="28"/>
          <w:lang w:eastAsia="en-US"/>
        </w:rPr>
        <w:t>6. Регіональний аспект</w:t>
      </w:r>
      <w:r w:rsidR="00F21650">
        <w:rPr>
          <w:rFonts w:eastAsia="Calibri"/>
          <w:b/>
          <w:sz w:val="28"/>
          <w:szCs w:val="28"/>
          <w:lang w:eastAsia="en-US"/>
        </w:rPr>
        <w:t>.</w:t>
      </w:r>
    </w:p>
    <w:p w:rsidR="00A349E3" w:rsidRPr="00F21650" w:rsidRDefault="00A349E3" w:rsidP="008543F4">
      <w:pPr>
        <w:pStyle w:val="a6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21650">
        <w:rPr>
          <w:rFonts w:eastAsia="Calibri"/>
          <w:sz w:val="28"/>
          <w:szCs w:val="28"/>
          <w:lang w:eastAsia="en-US"/>
        </w:rPr>
        <w:t>Положення проекту рішення не вплива</w:t>
      </w:r>
      <w:r w:rsidR="00C8525A" w:rsidRPr="00F21650">
        <w:rPr>
          <w:rFonts w:eastAsia="Calibri"/>
          <w:sz w:val="28"/>
          <w:szCs w:val="28"/>
          <w:lang w:eastAsia="en-US"/>
        </w:rPr>
        <w:t>є</w:t>
      </w:r>
      <w:r w:rsidRPr="00F21650">
        <w:rPr>
          <w:rFonts w:eastAsia="Calibri"/>
          <w:sz w:val="28"/>
          <w:szCs w:val="28"/>
          <w:lang w:eastAsia="en-US"/>
        </w:rPr>
        <w:t xml:space="preserve"> на розвиток адміністративно-територіальн</w:t>
      </w:r>
      <w:r w:rsidR="00C8525A" w:rsidRPr="00F21650">
        <w:rPr>
          <w:rFonts w:eastAsia="Calibri"/>
          <w:sz w:val="28"/>
          <w:szCs w:val="28"/>
          <w:lang w:eastAsia="en-US"/>
        </w:rPr>
        <w:t>ої</w:t>
      </w:r>
      <w:r w:rsidRPr="00F21650">
        <w:rPr>
          <w:rFonts w:eastAsia="Calibri"/>
          <w:sz w:val="28"/>
          <w:szCs w:val="28"/>
          <w:lang w:eastAsia="en-US"/>
        </w:rPr>
        <w:t xml:space="preserve"> одиниц</w:t>
      </w:r>
      <w:r w:rsidR="00C8525A" w:rsidRPr="00F21650">
        <w:rPr>
          <w:rFonts w:eastAsia="Calibri"/>
          <w:sz w:val="28"/>
          <w:szCs w:val="28"/>
          <w:lang w:eastAsia="en-US"/>
        </w:rPr>
        <w:t>і</w:t>
      </w:r>
      <w:r w:rsidRPr="00F21650">
        <w:rPr>
          <w:rFonts w:eastAsia="Calibri"/>
          <w:sz w:val="28"/>
          <w:szCs w:val="28"/>
          <w:lang w:eastAsia="en-US"/>
        </w:rPr>
        <w:t>.</w:t>
      </w:r>
    </w:p>
    <w:p w:rsidR="005161F5" w:rsidRPr="00F21650" w:rsidRDefault="005161F5" w:rsidP="00A0502A">
      <w:pPr>
        <w:pStyle w:val="a6"/>
        <w:ind w:firstLine="696"/>
        <w:jc w:val="both"/>
        <w:rPr>
          <w:rFonts w:eastAsia="Calibri"/>
          <w:sz w:val="28"/>
          <w:szCs w:val="28"/>
          <w:lang w:eastAsia="en-US"/>
        </w:rPr>
      </w:pPr>
    </w:p>
    <w:p w:rsidR="00A349E3" w:rsidRPr="00F21650" w:rsidRDefault="00A349E3" w:rsidP="008543F4">
      <w:pPr>
        <w:pStyle w:val="a6"/>
        <w:ind w:firstLine="696"/>
        <w:jc w:val="center"/>
        <w:rPr>
          <w:rFonts w:eastAsia="Calibri"/>
          <w:b/>
          <w:sz w:val="28"/>
          <w:szCs w:val="28"/>
          <w:lang w:eastAsia="en-US"/>
        </w:rPr>
      </w:pPr>
      <w:r w:rsidRPr="00F21650">
        <w:rPr>
          <w:rFonts w:eastAsia="Calibri"/>
          <w:b/>
          <w:sz w:val="28"/>
          <w:szCs w:val="28"/>
          <w:lang w:eastAsia="en-US"/>
        </w:rPr>
        <w:t>7. Громадське обговорення</w:t>
      </w:r>
      <w:r w:rsidR="00F21650">
        <w:rPr>
          <w:rFonts w:eastAsia="Calibri"/>
          <w:b/>
          <w:sz w:val="28"/>
          <w:szCs w:val="28"/>
          <w:lang w:eastAsia="en-US"/>
        </w:rPr>
        <w:t>.</w:t>
      </w:r>
    </w:p>
    <w:p w:rsidR="00A349E3" w:rsidRPr="00F21650" w:rsidRDefault="00A349E3" w:rsidP="008543F4">
      <w:pPr>
        <w:pStyle w:val="a6"/>
        <w:ind w:hanging="11"/>
        <w:jc w:val="both"/>
        <w:rPr>
          <w:rFonts w:eastAsia="Calibri"/>
          <w:sz w:val="28"/>
          <w:szCs w:val="28"/>
          <w:lang w:eastAsia="en-US"/>
        </w:rPr>
      </w:pPr>
      <w:r w:rsidRPr="00F21650">
        <w:rPr>
          <w:rFonts w:eastAsia="Calibri"/>
          <w:sz w:val="28"/>
          <w:szCs w:val="28"/>
          <w:lang w:eastAsia="en-US"/>
        </w:rPr>
        <w:t xml:space="preserve">Проект рішення не потребує громадського обговорення. </w:t>
      </w:r>
    </w:p>
    <w:p w:rsidR="006674CB" w:rsidRPr="00F21650" w:rsidRDefault="006674CB" w:rsidP="008543F4">
      <w:pPr>
        <w:pStyle w:val="a6"/>
        <w:ind w:hanging="11"/>
        <w:jc w:val="both"/>
        <w:rPr>
          <w:rFonts w:eastAsia="Calibri"/>
          <w:sz w:val="28"/>
          <w:szCs w:val="28"/>
          <w:lang w:eastAsia="en-US"/>
        </w:rPr>
      </w:pPr>
    </w:p>
    <w:p w:rsidR="006674CB" w:rsidRPr="00F21650" w:rsidRDefault="006674CB" w:rsidP="006674CB">
      <w:pPr>
        <w:pStyle w:val="a6"/>
        <w:ind w:hanging="11"/>
        <w:jc w:val="center"/>
        <w:rPr>
          <w:rFonts w:eastAsia="Calibri"/>
          <w:b/>
          <w:sz w:val="28"/>
          <w:szCs w:val="28"/>
        </w:rPr>
      </w:pPr>
      <w:r w:rsidRPr="00F21650">
        <w:rPr>
          <w:rFonts w:eastAsia="Calibri"/>
          <w:b/>
          <w:sz w:val="28"/>
          <w:szCs w:val="28"/>
        </w:rPr>
        <w:t>8. Вплив проекту на осіб з інвалідністю</w:t>
      </w:r>
      <w:r w:rsidR="00F21650">
        <w:rPr>
          <w:rFonts w:eastAsia="Calibri"/>
          <w:b/>
          <w:sz w:val="28"/>
          <w:szCs w:val="28"/>
        </w:rPr>
        <w:t>.</w:t>
      </w:r>
    </w:p>
    <w:p w:rsidR="006674CB" w:rsidRPr="00F21650" w:rsidRDefault="006674CB" w:rsidP="006674CB">
      <w:pPr>
        <w:pStyle w:val="a6"/>
        <w:ind w:left="0" w:right="-2" w:firstLine="567"/>
        <w:jc w:val="both"/>
        <w:rPr>
          <w:rFonts w:eastAsia="Calibri"/>
          <w:sz w:val="28"/>
          <w:szCs w:val="28"/>
        </w:rPr>
      </w:pPr>
      <w:r w:rsidRPr="00F21650">
        <w:rPr>
          <w:rFonts w:eastAsia="Calibri"/>
          <w:sz w:val="28"/>
          <w:szCs w:val="28"/>
        </w:rPr>
        <w:t xml:space="preserve">Проєкт рішення не стосується прав і соціальної захищеності осіб з інвалідністю та не впливатиме на життєдіяльність цієї категорії. </w:t>
      </w:r>
    </w:p>
    <w:p w:rsidR="006674CB" w:rsidRPr="00F21650" w:rsidRDefault="006674CB" w:rsidP="006674CB">
      <w:pPr>
        <w:pStyle w:val="a6"/>
        <w:ind w:left="0" w:right="-2" w:firstLine="567"/>
        <w:jc w:val="both"/>
        <w:rPr>
          <w:rFonts w:eastAsia="Calibri"/>
          <w:sz w:val="28"/>
          <w:szCs w:val="28"/>
        </w:rPr>
      </w:pPr>
    </w:p>
    <w:p w:rsidR="006674CB" w:rsidRPr="00F21650" w:rsidRDefault="006674CB" w:rsidP="006674CB">
      <w:pPr>
        <w:pStyle w:val="a6"/>
        <w:ind w:hanging="11"/>
        <w:jc w:val="center"/>
        <w:rPr>
          <w:rFonts w:eastAsia="Calibri"/>
          <w:b/>
          <w:sz w:val="28"/>
          <w:szCs w:val="28"/>
        </w:rPr>
      </w:pPr>
      <w:r w:rsidRPr="00F21650">
        <w:rPr>
          <w:rFonts w:eastAsia="Calibri"/>
          <w:b/>
          <w:sz w:val="28"/>
          <w:szCs w:val="28"/>
        </w:rPr>
        <w:t>9. Інформація з обмеженим доступом</w:t>
      </w:r>
      <w:r w:rsidR="00F21650">
        <w:rPr>
          <w:rFonts w:eastAsia="Calibri"/>
          <w:b/>
          <w:sz w:val="28"/>
          <w:szCs w:val="28"/>
        </w:rPr>
        <w:t>.</w:t>
      </w:r>
    </w:p>
    <w:p w:rsidR="006674CB" w:rsidRPr="00F21650" w:rsidRDefault="006674CB" w:rsidP="006674CB">
      <w:pPr>
        <w:pStyle w:val="a6"/>
        <w:ind w:left="0" w:firstLine="709"/>
        <w:jc w:val="both"/>
        <w:rPr>
          <w:rFonts w:eastAsia="Calibri"/>
          <w:sz w:val="28"/>
          <w:szCs w:val="28"/>
        </w:rPr>
      </w:pPr>
      <w:r w:rsidRPr="00F21650">
        <w:rPr>
          <w:rFonts w:eastAsia="Calibri"/>
          <w:sz w:val="28"/>
          <w:szCs w:val="28"/>
        </w:rPr>
        <w:t>Проєкт рішення не містить інформацію з обмеженим доступом у розумінні статті 6 Закону України «Про доступ до публічної інформації».</w:t>
      </w:r>
    </w:p>
    <w:p w:rsidR="006674CB" w:rsidRPr="00F21650" w:rsidRDefault="006674CB" w:rsidP="006674CB">
      <w:pPr>
        <w:pStyle w:val="a6"/>
        <w:ind w:hanging="11"/>
        <w:rPr>
          <w:rFonts w:eastAsia="Calibri"/>
          <w:sz w:val="28"/>
          <w:szCs w:val="28"/>
        </w:rPr>
      </w:pPr>
    </w:p>
    <w:p w:rsidR="00A349E3" w:rsidRPr="00F21650" w:rsidRDefault="006674CB" w:rsidP="008543F4">
      <w:pPr>
        <w:pStyle w:val="a6"/>
        <w:ind w:firstLine="696"/>
        <w:jc w:val="center"/>
        <w:rPr>
          <w:rFonts w:eastAsia="Calibri"/>
          <w:b/>
          <w:sz w:val="28"/>
          <w:szCs w:val="28"/>
          <w:lang w:eastAsia="en-US"/>
        </w:rPr>
      </w:pPr>
      <w:r w:rsidRPr="00F21650">
        <w:rPr>
          <w:rFonts w:eastAsia="Calibri"/>
          <w:b/>
          <w:sz w:val="28"/>
          <w:szCs w:val="28"/>
          <w:lang w:eastAsia="en-US"/>
        </w:rPr>
        <w:t>10</w:t>
      </w:r>
      <w:r w:rsidR="00A349E3" w:rsidRPr="00F21650">
        <w:rPr>
          <w:rFonts w:eastAsia="Calibri"/>
          <w:b/>
          <w:sz w:val="28"/>
          <w:szCs w:val="28"/>
          <w:lang w:eastAsia="en-US"/>
        </w:rPr>
        <w:t>. Прогноз результатів</w:t>
      </w:r>
      <w:r w:rsidR="00F21650">
        <w:rPr>
          <w:rFonts w:eastAsia="Calibri"/>
          <w:b/>
          <w:sz w:val="28"/>
          <w:szCs w:val="28"/>
          <w:lang w:eastAsia="en-US"/>
        </w:rPr>
        <w:t>.</w:t>
      </w:r>
    </w:p>
    <w:p w:rsidR="00BF3E8E" w:rsidRDefault="00BF3E8E" w:rsidP="008543F4">
      <w:pPr>
        <w:pStyle w:val="a6"/>
        <w:ind w:left="0" w:firstLine="709"/>
        <w:jc w:val="both"/>
        <w:rPr>
          <w:rFonts w:eastAsia="Calibri"/>
          <w:sz w:val="28"/>
          <w:szCs w:val="28"/>
          <w:lang w:eastAsia="en-US"/>
        </w:rPr>
      </w:pPr>
    </w:p>
    <w:p w:rsidR="00BF3E8E" w:rsidRDefault="00BF3E8E" w:rsidP="008543F4">
      <w:pPr>
        <w:pStyle w:val="a6"/>
        <w:ind w:left="0" w:firstLine="709"/>
        <w:jc w:val="both"/>
        <w:rPr>
          <w:rFonts w:eastAsia="Calibri"/>
          <w:sz w:val="28"/>
          <w:szCs w:val="28"/>
          <w:lang w:eastAsia="en-US"/>
        </w:rPr>
      </w:pPr>
    </w:p>
    <w:p w:rsidR="00BF3E8E" w:rsidRDefault="00BF3E8E" w:rsidP="008543F4">
      <w:pPr>
        <w:pStyle w:val="a6"/>
        <w:ind w:left="0" w:firstLine="709"/>
        <w:jc w:val="both"/>
        <w:rPr>
          <w:rFonts w:eastAsia="Calibri"/>
          <w:sz w:val="28"/>
          <w:szCs w:val="28"/>
          <w:lang w:eastAsia="en-US"/>
        </w:rPr>
      </w:pPr>
    </w:p>
    <w:p w:rsidR="00A349E3" w:rsidRPr="00F21650" w:rsidRDefault="00A349E3" w:rsidP="008543F4">
      <w:pPr>
        <w:pStyle w:val="a6"/>
        <w:ind w:left="0" w:firstLine="709"/>
        <w:jc w:val="both"/>
        <w:rPr>
          <w:rFonts w:eastAsia="Calibri"/>
          <w:sz w:val="28"/>
          <w:szCs w:val="28"/>
          <w:lang w:eastAsia="en-US"/>
        </w:rPr>
      </w:pPr>
      <w:bookmarkStart w:id="0" w:name="_GoBack"/>
      <w:bookmarkEnd w:id="0"/>
      <w:r w:rsidRPr="00F21650">
        <w:rPr>
          <w:rFonts w:eastAsia="Calibri"/>
          <w:sz w:val="28"/>
          <w:szCs w:val="28"/>
          <w:lang w:eastAsia="en-US"/>
        </w:rPr>
        <w:t>Прийняття запропонованого рішення дозволить покращити стан фінансово-господарської діяльності комунальн</w:t>
      </w:r>
      <w:r w:rsidR="00C8525A" w:rsidRPr="00F21650">
        <w:rPr>
          <w:rFonts w:eastAsia="Calibri"/>
          <w:sz w:val="28"/>
          <w:szCs w:val="28"/>
          <w:lang w:eastAsia="en-US"/>
        </w:rPr>
        <w:t>их</w:t>
      </w:r>
      <w:r w:rsidRPr="00F21650">
        <w:rPr>
          <w:rFonts w:eastAsia="Calibri"/>
          <w:sz w:val="28"/>
          <w:szCs w:val="28"/>
          <w:lang w:eastAsia="en-US"/>
        </w:rPr>
        <w:t xml:space="preserve"> підприємств </w:t>
      </w:r>
      <w:r w:rsidR="00C8525A" w:rsidRPr="00F21650">
        <w:rPr>
          <w:rFonts w:eastAsia="Calibri"/>
          <w:sz w:val="28"/>
          <w:szCs w:val="28"/>
          <w:lang w:eastAsia="en-US"/>
        </w:rPr>
        <w:t>житлово-комунальної галузі міста.</w:t>
      </w:r>
    </w:p>
    <w:p w:rsidR="00A349E3" w:rsidRPr="00F21650" w:rsidRDefault="009F4C12" w:rsidP="00A0502A">
      <w:pPr>
        <w:pStyle w:val="a6"/>
        <w:ind w:firstLine="696"/>
        <w:jc w:val="both"/>
        <w:rPr>
          <w:rFonts w:eastAsia="Calibri"/>
          <w:sz w:val="28"/>
          <w:szCs w:val="28"/>
          <w:lang w:eastAsia="en-US"/>
        </w:rPr>
      </w:pPr>
      <w:r w:rsidRPr="00F21650">
        <w:rPr>
          <w:rFonts w:eastAsia="Calibri"/>
          <w:sz w:val="28"/>
          <w:szCs w:val="28"/>
          <w:lang w:eastAsia="en-US"/>
        </w:rPr>
        <w:t xml:space="preserve"> </w:t>
      </w:r>
    </w:p>
    <w:p w:rsidR="009F4C12" w:rsidRPr="00F21650" w:rsidRDefault="00692D00" w:rsidP="009F4C12">
      <w:pPr>
        <w:pStyle w:val="a6"/>
        <w:ind w:firstLine="696"/>
        <w:jc w:val="center"/>
        <w:rPr>
          <w:rFonts w:eastAsia="Calibri"/>
          <w:b/>
          <w:sz w:val="28"/>
          <w:szCs w:val="28"/>
          <w:lang w:eastAsia="en-US"/>
        </w:rPr>
      </w:pPr>
      <w:r w:rsidRPr="00F21650">
        <w:rPr>
          <w:rFonts w:eastAsia="Calibri"/>
          <w:b/>
          <w:sz w:val="28"/>
          <w:szCs w:val="28"/>
          <w:lang w:eastAsia="en-US"/>
        </w:rPr>
        <w:t>11</w:t>
      </w:r>
      <w:r w:rsidR="009F4C12" w:rsidRPr="00F21650">
        <w:rPr>
          <w:rFonts w:eastAsia="Calibri"/>
          <w:b/>
          <w:sz w:val="28"/>
          <w:szCs w:val="28"/>
          <w:lang w:eastAsia="en-US"/>
        </w:rPr>
        <w:t>. Суб’єкт подання рішення та доповідачі на пленарному засіданні</w:t>
      </w:r>
      <w:r w:rsidR="00F21650">
        <w:rPr>
          <w:rFonts w:eastAsia="Calibri"/>
          <w:b/>
          <w:sz w:val="28"/>
          <w:szCs w:val="28"/>
          <w:lang w:eastAsia="en-US"/>
        </w:rPr>
        <w:t>.</w:t>
      </w:r>
    </w:p>
    <w:p w:rsidR="009F4C12" w:rsidRPr="00F21650" w:rsidRDefault="009F4C12" w:rsidP="009F4C12">
      <w:pPr>
        <w:pStyle w:val="a6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21650">
        <w:rPr>
          <w:rFonts w:eastAsia="Calibri"/>
          <w:sz w:val="28"/>
          <w:szCs w:val="28"/>
          <w:lang w:eastAsia="en-US"/>
        </w:rPr>
        <w:t xml:space="preserve">Суб’єктом подання проєкту рішення є депутати Київської міської ради –                члени постійної комісії Київської міської ради з питань житлово-комунального господарства та паливно-енергетичного комплексу. </w:t>
      </w:r>
    </w:p>
    <w:p w:rsidR="009F4C12" w:rsidRPr="00F21650" w:rsidRDefault="009F4C12" w:rsidP="009F4C12">
      <w:pPr>
        <w:pStyle w:val="a6"/>
        <w:ind w:left="0" w:firstLine="709"/>
        <w:jc w:val="both"/>
        <w:rPr>
          <w:rFonts w:eastAsia="Calibri"/>
          <w:sz w:val="28"/>
          <w:szCs w:val="28"/>
          <w:lang w:eastAsia="en-US"/>
        </w:rPr>
      </w:pPr>
      <w:r w:rsidRPr="00F21650">
        <w:rPr>
          <w:rFonts w:eastAsia="Calibri"/>
          <w:sz w:val="28"/>
          <w:szCs w:val="28"/>
          <w:lang w:eastAsia="en-US"/>
        </w:rPr>
        <w:t xml:space="preserve">Відповідальним за супроводження </w:t>
      </w:r>
      <w:proofErr w:type="spellStart"/>
      <w:r w:rsidRPr="00F21650">
        <w:rPr>
          <w:rFonts w:eastAsia="Calibri"/>
          <w:sz w:val="28"/>
          <w:szCs w:val="28"/>
          <w:lang w:eastAsia="en-US"/>
        </w:rPr>
        <w:t>проєкту</w:t>
      </w:r>
      <w:proofErr w:type="spellEnd"/>
      <w:r w:rsidRPr="00F21650">
        <w:rPr>
          <w:rFonts w:eastAsia="Calibri"/>
          <w:sz w:val="28"/>
          <w:szCs w:val="28"/>
          <w:lang w:eastAsia="en-US"/>
        </w:rPr>
        <w:t xml:space="preserve"> рішення </w:t>
      </w:r>
      <w:r w:rsidR="00F21650">
        <w:rPr>
          <w:rFonts w:eastAsia="Calibri"/>
          <w:sz w:val="28"/>
          <w:szCs w:val="28"/>
          <w:lang w:eastAsia="en-US"/>
        </w:rPr>
        <w:t xml:space="preserve">та доповідачем на всіх стадіях </w:t>
      </w:r>
      <w:proofErr w:type="spellStart"/>
      <w:r w:rsidR="00F21650">
        <w:rPr>
          <w:rFonts w:eastAsia="Calibri"/>
          <w:sz w:val="28"/>
          <w:szCs w:val="28"/>
          <w:lang w:eastAsia="en-US"/>
        </w:rPr>
        <w:t>проєкту</w:t>
      </w:r>
      <w:proofErr w:type="spellEnd"/>
      <w:r w:rsidR="00F21650">
        <w:rPr>
          <w:rFonts w:eastAsia="Calibri"/>
          <w:sz w:val="28"/>
          <w:szCs w:val="28"/>
          <w:lang w:eastAsia="en-US"/>
        </w:rPr>
        <w:t xml:space="preserve"> та пленарному засіданні </w:t>
      </w:r>
      <w:r w:rsidRPr="00F21650">
        <w:rPr>
          <w:rFonts w:eastAsia="Calibri"/>
          <w:sz w:val="28"/>
          <w:szCs w:val="28"/>
          <w:lang w:eastAsia="en-US"/>
        </w:rPr>
        <w:t xml:space="preserve">є голова постійної комісії Київської міської ради з питань житлово-комунального господарства та паливно-енергетичного комплексу: Бродський Олександр Якович, к. т. 202-73-11. </w:t>
      </w:r>
    </w:p>
    <w:p w:rsidR="00BD23D2" w:rsidRDefault="00BD23D2" w:rsidP="009F4C12">
      <w:pPr>
        <w:pStyle w:val="a6"/>
        <w:ind w:left="0" w:firstLine="709"/>
        <w:jc w:val="both"/>
        <w:rPr>
          <w:rFonts w:eastAsia="Calibri"/>
          <w:b/>
          <w:i/>
          <w:sz w:val="27"/>
          <w:szCs w:val="27"/>
          <w:lang w:eastAsia="en-US"/>
        </w:rPr>
      </w:pPr>
    </w:p>
    <w:p w:rsidR="004030F6" w:rsidRDefault="004030F6" w:rsidP="009F4C12">
      <w:pPr>
        <w:pStyle w:val="a6"/>
        <w:ind w:left="0" w:firstLine="709"/>
        <w:jc w:val="both"/>
        <w:rPr>
          <w:rFonts w:eastAsia="Calibri"/>
          <w:b/>
          <w:i/>
          <w:sz w:val="27"/>
          <w:szCs w:val="27"/>
          <w:lang w:eastAsia="en-US"/>
        </w:rPr>
      </w:pPr>
    </w:p>
    <w:p w:rsidR="004B61BC" w:rsidRPr="00AD4F0B" w:rsidRDefault="004B61BC" w:rsidP="004B61B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4F0B">
        <w:rPr>
          <w:rFonts w:ascii="Times New Roman" w:hAnsi="Times New Roman"/>
          <w:color w:val="000000" w:themeColor="text1"/>
          <w:sz w:val="28"/>
          <w:szCs w:val="28"/>
        </w:rPr>
        <w:t xml:space="preserve">Голова постійної комісії                                                            Олександр БРОДСЬКИЙ </w:t>
      </w:r>
    </w:p>
    <w:p w:rsidR="00FC7382" w:rsidRDefault="00FC7382" w:rsidP="004B61B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B61BC" w:rsidRPr="00AD4F0B" w:rsidRDefault="004B61BC" w:rsidP="004B61B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4F0B">
        <w:rPr>
          <w:rFonts w:ascii="Times New Roman" w:hAnsi="Times New Roman"/>
          <w:color w:val="000000" w:themeColor="text1"/>
          <w:sz w:val="28"/>
          <w:szCs w:val="28"/>
        </w:rPr>
        <w:t xml:space="preserve">Секретар постійної комісії                                                            Тарас КРИВОРУЧКО </w:t>
      </w:r>
    </w:p>
    <w:p w:rsidR="00FC7382" w:rsidRDefault="00FC7382" w:rsidP="004B61B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B61BC" w:rsidRPr="00AD4F0B" w:rsidRDefault="004B61BC" w:rsidP="004B61B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4F0B">
        <w:rPr>
          <w:rFonts w:ascii="Times New Roman" w:hAnsi="Times New Roman"/>
          <w:color w:val="000000" w:themeColor="text1"/>
          <w:sz w:val="28"/>
          <w:szCs w:val="28"/>
        </w:rPr>
        <w:t xml:space="preserve">Перший заступник голови постійної комісії                                      Віталій ПАВЛИК </w:t>
      </w:r>
    </w:p>
    <w:p w:rsidR="00FC7382" w:rsidRDefault="00FC7382" w:rsidP="004B61B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B61BC" w:rsidRPr="00AD4F0B" w:rsidRDefault="004B61BC" w:rsidP="004B61B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4F0B">
        <w:rPr>
          <w:rFonts w:ascii="Times New Roman" w:hAnsi="Times New Roman"/>
          <w:color w:val="000000" w:themeColor="text1"/>
          <w:sz w:val="28"/>
          <w:szCs w:val="28"/>
        </w:rPr>
        <w:t xml:space="preserve">Перший заступник голови постійної комісії                                Юрій ТИХОНОВИЧ </w:t>
      </w:r>
    </w:p>
    <w:p w:rsidR="00FC7382" w:rsidRDefault="00FC7382" w:rsidP="004B61B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B61BC" w:rsidRPr="00AD4F0B" w:rsidRDefault="004B61BC" w:rsidP="004B61B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 w:rsidRPr="00AD4F0B">
        <w:rPr>
          <w:rFonts w:ascii="Times New Roman" w:hAnsi="Times New Roman"/>
          <w:color w:val="000000" w:themeColor="text1"/>
          <w:sz w:val="28"/>
          <w:szCs w:val="28"/>
        </w:rPr>
        <w:t xml:space="preserve">Член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постійної </w:t>
      </w:r>
      <w:r w:rsidRPr="00AD4F0B">
        <w:rPr>
          <w:rFonts w:ascii="Times New Roman" w:hAnsi="Times New Roman"/>
          <w:color w:val="000000" w:themeColor="text1"/>
          <w:sz w:val="28"/>
          <w:szCs w:val="28"/>
        </w:rPr>
        <w:t xml:space="preserve">комісії                                           </w:t>
      </w:r>
      <w:r>
        <w:rPr>
          <w:rFonts w:ascii="Times New Roman" w:hAnsi="Times New Roman"/>
          <w:color w:val="000000" w:themeColor="text1"/>
          <w:sz w:val="28"/>
          <w:szCs w:val="28"/>
        </w:rPr>
        <w:t xml:space="preserve">            </w:t>
      </w:r>
      <w:r w:rsidRPr="00AD4F0B">
        <w:rPr>
          <w:rFonts w:ascii="Times New Roman" w:hAnsi="Times New Roman"/>
          <w:color w:val="000000" w:themeColor="text1"/>
          <w:sz w:val="28"/>
          <w:szCs w:val="28"/>
        </w:rPr>
        <w:t xml:space="preserve">                Олександр ПОПОВ  </w:t>
      </w:r>
    </w:p>
    <w:p w:rsidR="00FC7382" w:rsidRDefault="00FC7382" w:rsidP="004B61B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4B61BC" w:rsidRPr="00AD4F0B" w:rsidRDefault="004B61BC" w:rsidP="004B61B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  <w:r>
        <w:rPr>
          <w:rFonts w:ascii="Times New Roman" w:hAnsi="Times New Roman"/>
          <w:color w:val="000000" w:themeColor="text1"/>
          <w:sz w:val="28"/>
          <w:szCs w:val="28"/>
        </w:rPr>
        <w:t>Член постійної комісії                                                                                  Ігор  ШПАК</w:t>
      </w:r>
    </w:p>
    <w:p w:rsidR="00FC7382" w:rsidRDefault="00FC7382" w:rsidP="004B61BC">
      <w:pPr>
        <w:spacing w:after="0"/>
        <w:jc w:val="both"/>
        <w:rPr>
          <w:rFonts w:ascii="Times New Roman" w:hAnsi="Times New Roman"/>
          <w:color w:val="000000" w:themeColor="text1"/>
          <w:sz w:val="28"/>
          <w:szCs w:val="28"/>
        </w:rPr>
      </w:pPr>
    </w:p>
    <w:p w:rsidR="00A349E3" w:rsidRPr="00FD5029" w:rsidRDefault="00A349E3" w:rsidP="00A0502A">
      <w:pPr>
        <w:pStyle w:val="a6"/>
        <w:ind w:firstLine="696"/>
        <w:jc w:val="both"/>
        <w:rPr>
          <w:rFonts w:eastAsia="Calibri"/>
          <w:color w:val="FF0000"/>
          <w:sz w:val="27"/>
          <w:szCs w:val="27"/>
          <w:lang w:eastAsia="en-US"/>
        </w:rPr>
      </w:pPr>
    </w:p>
    <w:sectPr w:rsidR="00A349E3" w:rsidRPr="00FD5029" w:rsidSect="00013914">
      <w:pgSz w:w="11906" w:h="16838"/>
      <w:pgMar w:top="851" w:right="851" w:bottom="709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0FAA4B3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FB3826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B80A049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AAC854D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A55AEED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B00C15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0DC5C1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62C20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E30786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42563A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CDD2364"/>
    <w:multiLevelType w:val="hybridMultilevel"/>
    <w:tmpl w:val="85AC9360"/>
    <w:lvl w:ilvl="0" w:tplc="7B10A9CC">
      <w:numFmt w:val="bullet"/>
      <w:lvlText w:val="-"/>
      <w:lvlJc w:val="left"/>
      <w:pPr>
        <w:ind w:left="1145" w:hanging="360"/>
      </w:pPr>
      <w:rPr>
        <w:rFonts w:ascii="Times New Roman" w:eastAsia="Calibr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1" w15:restartNumberingAfterBreak="0">
    <w:nsid w:val="58B84325"/>
    <w:multiLevelType w:val="hybridMultilevel"/>
    <w:tmpl w:val="FA9A77DC"/>
    <w:lvl w:ilvl="0" w:tplc="3C0C0EAA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0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49FD"/>
    <w:rsid w:val="000022DD"/>
    <w:rsid w:val="00004AEA"/>
    <w:rsid w:val="0001024C"/>
    <w:rsid w:val="00010B98"/>
    <w:rsid w:val="00012337"/>
    <w:rsid w:val="00013914"/>
    <w:rsid w:val="00022E1A"/>
    <w:rsid w:val="0002675F"/>
    <w:rsid w:val="000547F0"/>
    <w:rsid w:val="000773AB"/>
    <w:rsid w:val="00082F4F"/>
    <w:rsid w:val="000919E4"/>
    <w:rsid w:val="00096B8B"/>
    <w:rsid w:val="000B22C8"/>
    <w:rsid w:val="000C6108"/>
    <w:rsid w:val="000D64D8"/>
    <w:rsid w:val="000E3AF9"/>
    <w:rsid w:val="000E57FE"/>
    <w:rsid w:val="000F1BDB"/>
    <w:rsid w:val="00106E38"/>
    <w:rsid w:val="001167AE"/>
    <w:rsid w:val="00120F16"/>
    <w:rsid w:val="001238F9"/>
    <w:rsid w:val="00127E75"/>
    <w:rsid w:val="00134574"/>
    <w:rsid w:val="00137E1B"/>
    <w:rsid w:val="0015355A"/>
    <w:rsid w:val="001538A3"/>
    <w:rsid w:val="00155E78"/>
    <w:rsid w:val="00161D30"/>
    <w:rsid w:val="00176A01"/>
    <w:rsid w:val="00190C57"/>
    <w:rsid w:val="001938A9"/>
    <w:rsid w:val="00197BC7"/>
    <w:rsid w:val="001A5679"/>
    <w:rsid w:val="001A620E"/>
    <w:rsid w:val="001A65E0"/>
    <w:rsid w:val="001B329D"/>
    <w:rsid w:val="001B3D2E"/>
    <w:rsid w:val="001C05A1"/>
    <w:rsid w:val="001D54D1"/>
    <w:rsid w:val="001F207C"/>
    <w:rsid w:val="001F37F5"/>
    <w:rsid w:val="001F7965"/>
    <w:rsid w:val="00201871"/>
    <w:rsid w:val="002106F7"/>
    <w:rsid w:val="00231AD3"/>
    <w:rsid w:val="002421DB"/>
    <w:rsid w:val="002507F7"/>
    <w:rsid w:val="0026005F"/>
    <w:rsid w:val="00270A79"/>
    <w:rsid w:val="00280CD5"/>
    <w:rsid w:val="00291339"/>
    <w:rsid w:val="002920DB"/>
    <w:rsid w:val="0029788D"/>
    <w:rsid w:val="002A4E5B"/>
    <w:rsid w:val="002A5B94"/>
    <w:rsid w:val="002B70FD"/>
    <w:rsid w:val="002D0277"/>
    <w:rsid w:val="002D53B1"/>
    <w:rsid w:val="002F2E5C"/>
    <w:rsid w:val="002F4657"/>
    <w:rsid w:val="00305739"/>
    <w:rsid w:val="0030588A"/>
    <w:rsid w:val="003101B3"/>
    <w:rsid w:val="00310361"/>
    <w:rsid w:val="00312514"/>
    <w:rsid w:val="00312DE0"/>
    <w:rsid w:val="0031349D"/>
    <w:rsid w:val="0031475C"/>
    <w:rsid w:val="003147E7"/>
    <w:rsid w:val="00315816"/>
    <w:rsid w:val="00327B38"/>
    <w:rsid w:val="00327D4E"/>
    <w:rsid w:val="00333070"/>
    <w:rsid w:val="00334194"/>
    <w:rsid w:val="003341BF"/>
    <w:rsid w:val="00341875"/>
    <w:rsid w:val="00342CD1"/>
    <w:rsid w:val="003458C8"/>
    <w:rsid w:val="00352411"/>
    <w:rsid w:val="003563EF"/>
    <w:rsid w:val="0035792C"/>
    <w:rsid w:val="00374448"/>
    <w:rsid w:val="00376439"/>
    <w:rsid w:val="003813D8"/>
    <w:rsid w:val="0039071E"/>
    <w:rsid w:val="003926A5"/>
    <w:rsid w:val="00396215"/>
    <w:rsid w:val="003A1264"/>
    <w:rsid w:val="003A6AE6"/>
    <w:rsid w:val="003B15CE"/>
    <w:rsid w:val="003C3304"/>
    <w:rsid w:val="003D6B97"/>
    <w:rsid w:val="003E4AB7"/>
    <w:rsid w:val="004030F6"/>
    <w:rsid w:val="0040572B"/>
    <w:rsid w:val="00406BC4"/>
    <w:rsid w:val="00411197"/>
    <w:rsid w:val="00411333"/>
    <w:rsid w:val="00430A5D"/>
    <w:rsid w:val="004374BE"/>
    <w:rsid w:val="00437EAB"/>
    <w:rsid w:val="004417A3"/>
    <w:rsid w:val="00447F5A"/>
    <w:rsid w:val="004515F4"/>
    <w:rsid w:val="00474503"/>
    <w:rsid w:val="004A03AE"/>
    <w:rsid w:val="004A3958"/>
    <w:rsid w:val="004B350C"/>
    <w:rsid w:val="004B3F1B"/>
    <w:rsid w:val="004B45DA"/>
    <w:rsid w:val="004B61BC"/>
    <w:rsid w:val="004C095F"/>
    <w:rsid w:val="004C6466"/>
    <w:rsid w:val="004D49FD"/>
    <w:rsid w:val="004F6E8E"/>
    <w:rsid w:val="004F7DCF"/>
    <w:rsid w:val="00504252"/>
    <w:rsid w:val="0051277D"/>
    <w:rsid w:val="005161F5"/>
    <w:rsid w:val="00526069"/>
    <w:rsid w:val="00530264"/>
    <w:rsid w:val="00544776"/>
    <w:rsid w:val="0055201C"/>
    <w:rsid w:val="00553C8A"/>
    <w:rsid w:val="00556FF8"/>
    <w:rsid w:val="00581652"/>
    <w:rsid w:val="005A6199"/>
    <w:rsid w:val="005A6FFB"/>
    <w:rsid w:val="005A7311"/>
    <w:rsid w:val="005B4F43"/>
    <w:rsid w:val="005B60E0"/>
    <w:rsid w:val="005C752C"/>
    <w:rsid w:val="005E2223"/>
    <w:rsid w:val="005F5F2E"/>
    <w:rsid w:val="00604F70"/>
    <w:rsid w:val="006210ED"/>
    <w:rsid w:val="006212E7"/>
    <w:rsid w:val="006406C1"/>
    <w:rsid w:val="00640A86"/>
    <w:rsid w:val="0065413B"/>
    <w:rsid w:val="006674CB"/>
    <w:rsid w:val="006759F2"/>
    <w:rsid w:val="00681493"/>
    <w:rsid w:val="00682094"/>
    <w:rsid w:val="006824F5"/>
    <w:rsid w:val="006876D0"/>
    <w:rsid w:val="00692D00"/>
    <w:rsid w:val="006949A4"/>
    <w:rsid w:val="006B4597"/>
    <w:rsid w:val="006B4AC1"/>
    <w:rsid w:val="006D349A"/>
    <w:rsid w:val="006F1EAE"/>
    <w:rsid w:val="006F43D6"/>
    <w:rsid w:val="00715026"/>
    <w:rsid w:val="00717A27"/>
    <w:rsid w:val="00717A3F"/>
    <w:rsid w:val="00725BA6"/>
    <w:rsid w:val="00726587"/>
    <w:rsid w:val="00731AA9"/>
    <w:rsid w:val="0073392B"/>
    <w:rsid w:val="00741AB2"/>
    <w:rsid w:val="00744548"/>
    <w:rsid w:val="0075490B"/>
    <w:rsid w:val="00763BF6"/>
    <w:rsid w:val="00771469"/>
    <w:rsid w:val="00774A52"/>
    <w:rsid w:val="0078370A"/>
    <w:rsid w:val="00784EFC"/>
    <w:rsid w:val="00790612"/>
    <w:rsid w:val="00793380"/>
    <w:rsid w:val="00794BC2"/>
    <w:rsid w:val="00797CC0"/>
    <w:rsid w:val="007A1826"/>
    <w:rsid w:val="007B1827"/>
    <w:rsid w:val="007B1C42"/>
    <w:rsid w:val="007C3D2A"/>
    <w:rsid w:val="007C4BCD"/>
    <w:rsid w:val="007D0AA3"/>
    <w:rsid w:val="007F7E90"/>
    <w:rsid w:val="00805B0F"/>
    <w:rsid w:val="00812F24"/>
    <w:rsid w:val="0081741B"/>
    <w:rsid w:val="00822E64"/>
    <w:rsid w:val="00832240"/>
    <w:rsid w:val="00844576"/>
    <w:rsid w:val="00851D26"/>
    <w:rsid w:val="008543F4"/>
    <w:rsid w:val="00872337"/>
    <w:rsid w:val="00873C89"/>
    <w:rsid w:val="0088331B"/>
    <w:rsid w:val="00892A04"/>
    <w:rsid w:val="00897CAA"/>
    <w:rsid w:val="008A4C0D"/>
    <w:rsid w:val="008A74B4"/>
    <w:rsid w:val="008A7D95"/>
    <w:rsid w:val="008C4FCD"/>
    <w:rsid w:val="008D5FCC"/>
    <w:rsid w:val="008E686B"/>
    <w:rsid w:val="008F2E72"/>
    <w:rsid w:val="008F4316"/>
    <w:rsid w:val="00900B1D"/>
    <w:rsid w:val="009254D1"/>
    <w:rsid w:val="009270C9"/>
    <w:rsid w:val="009275B0"/>
    <w:rsid w:val="00934733"/>
    <w:rsid w:val="009364DB"/>
    <w:rsid w:val="00941E00"/>
    <w:rsid w:val="009538DD"/>
    <w:rsid w:val="00955FC4"/>
    <w:rsid w:val="00962467"/>
    <w:rsid w:val="00964B5E"/>
    <w:rsid w:val="00967E69"/>
    <w:rsid w:val="00973D84"/>
    <w:rsid w:val="009749C5"/>
    <w:rsid w:val="00977B0A"/>
    <w:rsid w:val="00983793"/>
    <w:rsid w:val="00995541"/>
    <w:rsid w:val="00996149"/>
    <w:rsid w:val="00996E0B"/>
    <w:rsid w:val="009A4B74"/>
    <w:rsid w:val="009A565F"/>
    <w:rsid w:val="009C60D2"/>
    <w:rsid w:val="009D3BFD"/>
    <w:rsid w:val="009D4E07"/>
    <w:rsid w:val="009E5E25"/>
    <w:rsid w:val="009F2F82"/>
    <w:rsid w:val="009F4C12"/>
    <w:rsid w:val="00A00A35"/>
    <w:rsid w:val="00A00FC0"/>
    <w:rsid w:val="00A02AAF"/>
    <w:rsid w:val="00A0502A"/>
    <w:rsid w:val="00A06C1C"/>
    <w:rsid w:val="00A22C7E"/>
    <w:rsid w:val="00A27296"/>
    <w:rsid w:val="00A318A5"/>
    <w:rsid w:val="00A349E3"/>
    <w:rsid w:val="00A352DF"/>
    <w:rsid w:val="00A44448"/>
    <w:rsid w:val="00A44E92"/>
    <w:rsid w:val="00A54EA5"/>
    <w:rsid w:val="00A6206D"/>
    <w:rsid w:val="00A715F1"/>
    <w:rsid w:val="00A72929"/>
    <w:rsid w:val="00A739D9"/>
    <w:rsid w:val="00A81276"/>
    <w:rsid w:val="00A864C0"/>
    <w:rsid w:val="00A97F0B"/>
    <w:rsid w:val="00AB242F"/>
    <w:rsid w:val="00AC02CD"/>
    <w:rsid w:val="00AC7015"/>
    <w:rsid w:val="00AD3798"/>
    <w:rsid w:val="00AD6757"/>
    <w:rsid w:val="00AE1D81"/>
    <w:rsid w:val="00AF4E54"/>
    <w:rsid w:val="00AF760C"/>
    <w:rsid w:val="00B031EE"/>
    <w:rsid w:val="00B0552E"/>
    <w:rsid w:val="00B06117"/>
    <w:rsid w:val="00B06C40"/>
    <w:rsid w:val="00B44B02"/>
    <w:rsid w:val="00B523EE"/>
    <w:rsid w:val="00B60AF2"/>
    <w:rsid w:val="00B650A5"/>
    <w:rsid w:val="00B653DA"/>
    <w:rsid w:val="00B75769"/>
    <w:rsid w:val="00B80534"/>
    <w:rsid w:val="00B832FD"/>
    <w:rsid w:val="00B93A84"/>
    <w:rsid w:val="00B94BCB"/>
    <w:rsid w:val="00BA2EBA"/>
    <w:rsid w:val="00BB3AC6"/>
    <w:rsid w:val="00BB630C"/>
    <w:rsid w:val="00BC01DE"/>
    <w:rsid w:val="00BC2B4B"/>
    <w:rsid w:val="00BC3B17"/>
    <w:rsid w:val="00BC5DD7"/>
    <w:rsid w:val="00BD01E9"/>
    <w:rsid w:val="00BD23D2"/>
    <w:rsid w:val="00BD6187"/>
    <w:rsid w:val="00BD6C65"/>
    <w:rsid w:val="00BE53B8"/>
    <w:rsid w:val="00BE6E94"/>
    <w:rsid w:val="00BF33BE"/>
    <w:rsid w:val="00BF3E8E"/>
    <w:rsid w:val="00C024D6"/>
    <w:rsid w:val="00C10B51"/>
    <w:rsid w:val="00C139D3"/>
    <w:rsid w:val="00C14316"/>
    <w:rsid w:val="00C169A2"/>
    <w:rsid w:val="00C32BF3"/>
    <w:rsid w:val="00C401E8"/>
    <w:rsid w:val="00C40234"/>
    <w:rsid w:val="00C4226B"/>
    <w:rsid w:val="00C46D39"/>
    <w:rsid w:val="00C64D6C"/>
    <w:rsid w:val="00C8525A"/>
    <w:rsid w:val="00C96CA0"/>
    <w:rsid w:val="00CA0F5F"/>
    <w:rsid w:val="00CA735F"/>
    <w:rsid w:val="00CB0259"/>
    <w:rsid w:val="00CB14A7"/>
    <w:rsid w:val="00CC4EA6"/>
    <w:rsid w:val="00CE1F97"/>
    <w:rsid w:val="00CE22C0"/>
    <w:rsid w:val="00CE514A"/>
    <w:rsid w:val="00CE6DCA"/>
    <w:rsid w:val="00CE7173"/>
    <w:rsid w:val="00CF2414"/>
    <w:rsid w:val="00D0156F"/>
    <w:rsid w:val="00D031F7"/>
    <w:rsid w:val="00D07074"/>
    <w:rsid w:val="00D10D06"/>
    <w:rsid w:val="00D11849"/>
    <w:rsid w:val="00D13CDD"/>
    <w:rsid w:val="00D25BD8"/>
    <w:rsid w:val="00D3109A"/>
    <w:rsid w:val="00D37DF8"/>
    <w:rsid w:val="00D40687"/>
    <w:rsid w:val="00D52149"/>
    <w:rsid w:val="00D61EE1"/>
    <w:rsid w:val="00D63D12"/>
    <w:rsid w:val="00D75375"/>
    <w:rsid w:val="00D82211"/>
    <w:rsid w:val="00D86725"/>
    <w:rsid w:val="00DA7842"/>
    <w:rsid w:val="00DB4249"/>
    <w:rsid w:val="00DD7543"/>
    <w:rsid w:val="00DE2FDB"/>
    <w:rsid w:val="00DF7005"/>
    <w:rsid w:val="00E055F0"/>
    <w:rsid w:val="00E07428"/>
    <w:rsid w:val="00E079F8"/>
    <w:rsid w:val="00E41D98"/>
    <w:rsid w:val="00E522A1"/>
    <w:rsid w:val="00E5735D"/>
    <w:rsid w:val="00E57CCD"/>
    <w:rsid w:val="00E8074A"/>
    <w:rsid w:val="00E81199"/>
    <w:rsid w:val="00E85B78"/>
    <w:rsid w:val="00E9159F"/>
    <w:rsid w:val="00EA166B"/>
    <w:rsid w:val="00EA30CD"/>
    <w:rsid w:val="00EC1904"/>
    <w:rsid w:val="00EC62E2"/>
    <w:rsid w:val="00EF166D"/>
    <w:rsid w:val="00F11FE4"/>
    <w:rsid w:val="00F173DC"/>
    <w:rsid w:val="00F21650"/>
    <w:rsid w:val="00F26308"/>
    <w:rsid w:val="00F279F4"/>
    <w:rsid w:val="00F31D02"/>
    <w:rsid w:val="00F41E63"/>
    <w:rsid w:val="00F4682D"/>
    <w:rsid w:val="00F54B58"/>
    <w:rsid w:val="00F60584"/>
    <w:rsid w:val="00F63D80"/>
    <w:rsid w:val="00F6675E"/>
    <w:rsid w:val="00F72633"/>
    <w:rsid w:val="00F8711C"/>
    <w:rsid w:val="00F91E71"/>
    <w:rsid w:val="00FB01BA"/>
    <w:rsid w:val="00FB26F2"/>
    <w:rsid w:val="00FB4FAD"/>
    <w:rsid w:val="00FB62EE"/>
    <w:rsid w:val="00FC3D47"/>
    <w:rsid w:val="00FC7382"/>
    <w:rsid w:val="00FD34B8"/>
    <w:rsid w:val="00FD5029"/>
    <w:rsid w:val="00FE6B4F"/>
    <w:rsid w:val="00FF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42DB234"/>
  <w15:docId w15:val="{31855707-0684-4925-87B4-402FF326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2675F"/>
    <w:pPr>
      <w:spacing w:after="200"/>
    </w:pPr>
    <w:rPr>
      <w:sz w:val="22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D49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4548"/>
    <w:pPr>
      <w:spacing w:after="0"/>
    </w:pPr>
    <w:rPr>
      <w:rFonts w:ascii="Tahoma" w:hAnsi="Tahoma" w:cs="Tahoma"/>
      <w:sz w:val="16"/>
      <w:szCs w:val="16"/>
    </w:rPr>
  </w:style>
  <w:style w:type="character" w:customStyle="1" w:styleId="a5">
    <w:name w:val="Текст у виносці Знак"/>
    <w:link w:val="a4"/>
    <w:uiPriority w:val="99"/>
    <w:semiHidden/>
    <w:rsid w:val="00744548"/>
    <w:rPr>
      <w:rFonts w:ascii="Tahoma" w:hAnsi="Tahoma" w:cs="Tahoma"/>
      <w:sz w:val="16"/>
      <w:szCs w:val="16"/>
      <w:lang w:val="uk-UA" w:eastAsia="en-US"/>
    </w:rPr>
  </w:style>
  <w:style w:type="paragraph" w:styleId="a6">
    <w:name w:val="List Paragraph"/>
    <w:basedOn w:val="a"/>
    <w:uiPriority w:val="34"/>
    <w:qFormat/>
    <w:rsid w:val="00681493"/>
    <w:pPr>
      <w:spacing w:after="0"/>
      <w:ind w:left="720"/>
      <w:contextualSpacing/>
    </w:pPr>
    <w:rPr>
      <w:rFonts w:ascii="Times New Roman" w:eastAsia="Times New Roman" w:hAnsi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00EFC4-B47D-4D19-929C-710546AABC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3914</Words>
  <Characters>2232</Characters>
  <Application>Microsoft Office Word</Application>
  <DocSecurity>0</DocSecurity>
  <Lines>18</Lines>
  <Paragraphs>12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РІШЕННЯ</vt:lpstr>
      <vt:lpstr>РІШЕННЯ</vt:lpstr>
    </vt:vector>
  </TitlesOfParts>
  <Company/>
  <LinksUpToDate>false</LinksUpToDate>
  <CharactersWithSpaces>6134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РІШЕННЯ</dc:title>
  <dc:creator>Марина П. Чмирук</dc:creator>
  <cp:lastModifiedBy>Антонюк Валентина Миколаївна</cp:lastModifiedBy>
  <cp:revision>4</cp:revision>
  <cp:lastPrinted>2024-05-21T14:43:00Z</cp:lastPrinted>
  <dcterms:created xsi:type="dcterms:W3CDTF">2024-05-22T07:26:00Z</dcterms:created>
  <dcterms:modified xsi:type="dcterms:W3CDTF">2024-05-22T07:40:00Z</dcterms:modified>
</cp:coreProperties>
</file>