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 жовтня 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110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b/>
          <w:bCs/>
          <w:sz w:val="26"/>
          <w:szCs w:val="26"/>
          <w:lang w:val="uk-UA"/>
        </w:rPr>
        <w:t>Територіальна   організація Радикальної Партії Олега Ляшка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Територіальною організацією Радикальної Партії Олега Ляшка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Мосійчук Ігор Володимирович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05.05.1972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Радикальної Партії Олега Ляшка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Народний депутат України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, місце роботи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Верховна Рада України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Києвській обл. м. Васильків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Мосійчуку Ігорю Володимировичу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Мосійчуку Ігорю Володимировичу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0" w:name="_GoBack"/>
      <w:bookmarkEnd w:id="0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2015-10-01T13:50:18Z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