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227786753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227786753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0886C488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677B86">
        <w:rPr>
          <w:b/>
          <w:bCs/>
          <w:sz w:val="24"/>
          <w:szCs w:val="24"/>
          <w:lang w:val="ru-RU"/>
        </w:rPr>
        <w:t>ПЗН-64023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677B86">
        <w:rPr>
          <w:b/>
          <w:bCs/>
          <w:sz w:val="24"/>
          <w:szCs w:val="24"/>
          <w:lang w:val="ru-RU"/>
        </w:rPr>
        <w:t>25.03.2024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5EB4EBFE" w:rsidR="00E17376" w:rsidRPr="00677B86" w:rsidRDefault="00677B8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i/>
          <w:sz w:val="24"/>
          <w:szCs w:val="24"/>
        </w:rPr>
      </w:pPr>
      <w:r w:rsidRPr="00677B86">
        <w:rPr>
          <w:b/>
          <w:bCs/>
          <w:i/>
          <w:sz w:val="24"/>
          <w:szCs w:val="24"/>
        </w:rPr>
        <w:t xml:space="preserve">Про передачу громадянці </w:t>
      </w:r>
      <w:proofErr w:type="spellStart"/>
      <w:r w:rsidRPr="00677B86">
        <w:rPr>
          <w:b/>
          <w:bCs/>
          <w:i/>
          <w:sz w:val="24"/>
          <w:szCs w:val="24"/>
        </w:rPr>
        <w:t>Кокошко</w:t>
      </w:r>
      <w:proofErr w:type="spellEnd"/>
      <w:r w:rsidRPr="00677B86">
        <w:rPr>
          <w:b/>
          <w:bCs/>
          <w:i/>
          <w:sz w:val="24"/>
          <w:szCs w:val="24"/>
        </w:rPr>
        <w:t xml:space="preserve"> Галині Костянтинівні у приватну власність земельної ділянки для будівництва і обслуговування житлового будинку, господарських будівель і </w:t>
      </w:r>
      <w:r>
        <w:rPr>
          <w:b/>
          <w:bCs/>
          <w:i/>
          <w:sz w:val="24"/>
          <w:szCs w:val="24"/>
        </w:rPr>
        <w:t xml:space="preserve">                       </w:t>
      </w:r>
      <w:r w:rsidRPr="00677B86">
        <w:rPr>
          <w:b/>
          <w:bCs/>
          <w:i/>
          <w:sz w:val="24"/>
          <w:szCs w:val="24"/>
        </w:rPr>
        <w:t xml:space="preserve">споруд (присадибна ділянка) </w:t>
      </w:r>
      <w:r w:rsidR="00B01BB2">
        <w:rPr>
          <w:b/>
          <w:bCs/>
          <w:i/>
          <w:sz w:val="24"/>
          <w:szCs w:val="24"/>
        </w:rPr>
        <w:t>у</w:t>
      </w:r>
      <w:r w:rsidRPr="00677B86">
        <w:rPr>
          <w:b/>
          <w:bCs/>
          <w:i/>
          <w:sz w:val="24"/>
          <w:szCs w:val="24"/>
        </w:rPr>
        <w:t xml:space="preserve"> </w:t>
      </w:r>
      <w:proofErr w:type="spellStart"/>
      <w:r w:rsidRPr="00677B86">
        <w:rPr>
          <w:b/>
          <w:bCs/>
          <w:i/>
          <w:sz w:val="24"/>
          <w:szCs w:val="24"/>
        </w:rPr>
        <w:t>пров</w:t>
      </w:r>
      <w:proofErr w:type="spellEnd"/>
      <w:r w:rsidRPr="00677B86">
        <w:rPr>
          <w:b/>
          <w:bCs/>
          <w:i/>
          <w:sz w:val="24"/>
          <w:szCs w:val="24"/>
        </w:rPr>
        <w:t xml:space="preserve">. Шевченка, 31 </w:t>
      </w:r>
      <w:r>
        <w:rPr>
          <w:b/>
          <w:bCs/>
          <w:i/>
          <w:sz w:val="24"/>
          <w:szCs w:val="24"/>
        </w:rPr>
        <w:t xml:space="preserve">                                         </w:t>
      </w:r>
      <w:r w:rsidRPr="00677B86">
        <w:rPr>
          <w:b/>
          <w:bCs/>
          <w:i/>
          <w:sz w:val="24"/>
          <w:szCs w:val="24"/>
        </w:rPr>
        <w:t>у Солом'янському районі міста Києва</w:t>
      </w: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E659C4" w14:paraId="227D063B" w14:textId="77777777" w:rsidTr="00677B86">
        <w:trPr>
          <w:trHeight w:val="431"/>
        </w:trPr>
        <w:tc>
          <w:tcPr>
            <w:tcW w:w="3403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486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Кокошко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Галина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Костянтинівна</w:t>
            </w:r>
            <w:proofErr w:type="spellEnd"/>
          </w:p>
        </w:tc>
      </w:tr>
      <w:tr w:rsidR="00677B86" w:rsidRPr="00104BBD" w14:paraId="7DC78010" w14:textId="77777777" w:rsidTr="00677B86">
        <w:tc>
          <w:tcPr>
            <w:tcW w:w="3403" w:type="dxa"/>
          </w:tcPr>
          <w:p w14:paraId="5547092E" w14:textId="77777777" w:rsidR="00677B86" w:rsidRPr="00104BBD" w:rsidRDefault="00677B86" w:rsidP="00AB50AD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Реєстраційний номер</w:t>
            </w:r>
            <w:r w:rsidRPr="00104BBD">
              <w:rPr>
                <w:i/>
                <w:color w:val="auto"/>
                <w:sz w:val="24"/>
                <w:szCs w:val="24"/>
              </w:rPr>
              <w:t xml:space="preserve">:     </w:t>
            </w:r>
          </w:p>
        </w:tc>
        <w:tc>
          <w:tcPr>
            <w:tcW w:w="6486" w:type="dxa"/>
          </w:tcPr>
          <w:p w14:paraId="2138093F" w14:textId="798A68F8" w:rsidR="00677B86" w:rsidRPr="00104BBD" w:rsidRDefault="00677B86" w:rsidP="00677B86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>
              <w:rPr>
                <w:b/>
                <w:i/>
                <w:color w:val="auto"/>
                <w:sz w:val="24"/>
                <w:szCs w:val="24"/>
                <w:lang w:val="ru-RU"/>
              </w:rPr>
              <w:t>16.02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>
              <w:rPr>
                <w:b/>
                <w:i/>
                <w:color w:val="auto"/>
                <w:sz w:val="24"/>
                <w:szCs w:val="24"/>
                <w:lang w:val="ru-RU"/>
              </w:rPr>
              <w:t>227786753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8000000000:72:513:0011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23"/>
        <w:gridCol w:w="6324"/>
      </w:tblGrid>
      <w:tr w:rsidR="00E659C4" w14:paraId="4ACF000F" w14:textId="77777777" w:rsidTr="00677B86">
        <w:tc>
          <w:tcPr>
            <w:tcW w:w="3423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24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proofErr w:type="spellStart"/>
            <w:r w:rsidRPr="00EA27C8">
              <w:rPr>
                <w:b w:val="0"/>
                <w:i/>
                <w:sz w:val="24"/>
                <w:szCs w:val="24"/>
              </w:rPr>
              <w:t>пров</w:t>
            </w:r>
            <w:proofErr w:type="spellEnd"/>
            <w:r w:rsidRPr="00EA27C8">
              <w:rPr>
                <w:b w:val="0"/>
                <w:i/>
                <w:sz w:val="24"/>
                <w:szCs w:val="24"/>
              </w:rPr>
              <w:t xml:space="preserve">. Шевченка, 31 у Солом'янському районі міста Києва </w:t>
            </w:r>
          </w:p>
        </w:tc>
      </w:tr>
      <w:tr w:rsidR="00E659C4" w14:paraId="7FA17F85" w14:textId="77777777" w:rsidTr="00677B86">
        <w:tc>
          <w:tcPr>
            <w:tcW w:w="3423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24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0,0806 га</w:t>
            </w:r>
          </w:p>
        </w:tc>
      </w:tr>
      <w:tr w:rsidR="00677B86" w14:paraId="704761A3" w14:textId="77777777" w:rsidTr="00AB50AD">
        <w:tc>
          <w:tcPr>
            <w:tcW w:w="3423" w:type="dxa"/>
          </w:tcPr>
          <w:p w14:paraId="05C4C65D" w14:textId="77777777" w:rsidR="00677B86" w:rsidRDefault="00677B86" w:rsidP="00AB50AD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1213A0">
              <w:rPr>
                <w:b w:val="0"/>
                <w:i/>
                <w:sz w:val="24"/>
                <w:szCs w:val="24"/>
              </w:rPr>
              <w:t>Категорія земель</w:t>
            </w:r>
          </w:p>
        </w:tc>
        <w:tc>
          <w:tcPr>
            <w:tcW w:w="6324" w:type="dxa"/>
          </w:tcPr>
          <w:p w14:paraId="68FA9588" w14:textId="77777777" w:rsidR="00677B86" w:rsidRDefault="00677B86" w:rsidP="00AB50AD">
            <w:pPr>
              <w:pStyle w:val="a7"/>
              <w:jc w:val="both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677B86" w14:paraId="310C8F3F" w14:textId="77777777" w:rsidTr="00AB50AD">
        <w:tc>
          <w:tcPr>
            <w:tcW w:w="3423" w:type="dxa"/>
          </w:tcPr>
          <w:p w14:paraId="7D79A53E" w14:textId="77777777" w:rsidR="00677B86" w:rsidRDefault="00677B86" w:rsidP="00AB50AD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24" w:type="dxa"/>
          </w:tcPr>
          <w:p w14:paraId="3EC5459E" w14:textId="77777777" w:rsidR="00677B86" w:rsidRPr="00EA27C8" w:rsidRDefault="00677B86" w:rsidP="00AB50AD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677B86" w14:paraId="6CDD4475" w14:textId="77777777" w:rsidTr="00AB50AD">
        <w:tc>
          <w:tcPr>
            <w:tcW w:w="3423" w:type="dxa"/>
          </w:tcPr>
          <w:p w14:paraId="49E03D5A" w14:textId="77777777" w:rsidR="00677B86" w:rsidRDefault="00677B86" w:rsidP="00AB50AD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Цільове призначення</w:t>
            </w:r>
          </w:p>
        </w:tc>
        <w:tc>
          <w:tcPr>
            <w:tcW w:w="6324" w:type="dxa"/>
          </w:tcPr>
          <w:p w14:paraId="3A9E7AE4" w14:textId="5DCE6AD4" w:rsidR="00677B86" w:rsidRPr="00EA27C8" w:rsidRDefault="00677B86" w:rsidP="00AB50AD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02.01 Для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житлового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будинку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господарських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споруд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присадибна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ділянка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) </w:t>
            </w: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71799525" w14:textId="5E46AAE7" w:rsidR="00677B86" w:rsidRPr="00104BBD" w:rsidRDefault="00677B86" w:rsidP="00677B86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DF2891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</w:t>
      </w:r>
      <w:r>
        <w:rPr>
          <w:sz w:val="24"/>
          <w:szCs w:val="24"/>
        </w:rPr>
        <w:t xml:space="preserve">рішенням Київської міської ради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>
        <w:rPr>
          <w:sz w:val="24"/>
          <w:szCs w:val="24"/>
        </w:rPr>
        <w:t>проєкт</w:t>
      </w:r>
      <w:proofErr w:type="spellEnd"/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899" w:type="dxa"/>
        <w:tblInd w:w="-34" w:type="dxa"/>
        <w:tblLook w:val="04A0" w:firstRow="1" w:lastRow="0" w:firstColumn="1" w:lastColumn="0" w:noHBand="0" w:noVBand="1"/>
      </w:tblPr>
      <w:tblGrid>
        <w:gridCol w:w="3462"/>
        <w:gridCol w:w="6437"/>
      </w:tblGrid>
      <w:tr w:rsidR="00E12AC0" w:rsidRPr="003774B2" w14:paraId="4A887E4C" w14:textId="77777777" w:rsidTr="00EA27C8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437" w:type="dxa"/>
          </w:tcPr>
          <w:p w14:paraId="687E2619" w14:textId="7BD0F31D" w:rsidR="00E12AC0" w:rsidRPr="00096F55" w:rsidRDefault="00677B86" w:rsidP="00F0786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 xml:space="preserve">На земельній ділянці розташований житловий будинок              загальною площею 61,1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spellEnd"/>
            <w:r>
              <w:rPr>
                <w:i/>
                <w:sz w:val="24"/>
                <w:szCs w:val="24"/>
              </w:rPr>
              <w:t>. м, господарські будівлі і споруди: літ. «Б» - погріб, літ. «В» - сарай, літ. «Г»</w:t>
            </w:r>
            <w:r w:rsidR="00F07867">
              <w:rPr>
                <w:i/>
                <w:sz w:val="24"/>
                <w:szCs w:val="24"/>
              </w:rPr>
              <w:t xml:space="preserve"> - гараж, літ. «И» - вбиральня, що належать</w:t>
            </w:r>
            <w:r>
              <w:rPr>
                <w:i/>
                <w:sz w:val="24"/>
                <w:szCs w:val="24"/>
              </w:rPr>
              <w:t xml:space="preserve"> гр. </w:t>
            </w:r>
            <w:proofErr w:type="spellStart"/>
            <w:r w:rsidR="00F07867">
              <w:rPr>
                <w:i/>
                <w:sz w:val="24"/>
                <w:szCs w:val="24"/>
              </w:rPr>
              <w:t>Кокошко</w:t>
            </w:r>
            <w:proofErr w:type="spellEnd"/>
            <w:r w:rsidR="00F07867">
              <w:rPr>
                <w:i/>
                <w:sz w:val="24"/>
                <w:szCs w:val="24"/>
              </w:rPr>
              <w:t xml:space="preserve"> Г.К.</w:t>
            </w:r>
            <w:r>
              <w:rPr>
                <w:i/>
                <w:sz w:val="24"/>
                <w:szCs w:val="24"/>
              </w:rPr>
              <w:t xml:space="preserve">, право власності зареєстровано у Державному реєстрі речових прав на нерухоме майно </w:t>
            </w:r>
            <w:r w:rsidR="00F07867">
              <w:rPr>
                <w:i/>
                <w:sz w:val="24"/>
                <w:szCs w:val="24"/>
              </w:rPr>
              <w:t>29.08.2019</w:t>
            </w:r>
            <w:r>
              <w:rPr>
                <w:i/>
                <w:sz w:val="24"/>
                <w:szCs w:val="24"/>
              </w:rPr>
              <w:t xml:space="preserve"> номер відомостей про речове право </w:t>
            </w:r>
            <w:r w:rsidR="00F07867">
              <w:rPr>
                <w:i/>
                <w:sz w:val="24"/>
                <w:szCs w:val="24"/>
              </w:rPr>
              <w:t>33072849</w:t>
            </w:r>
            <w:r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</w:t>
            </w:r>
            <w:r w:rsidR="00F07867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 xml:space="preserve">.03.2024 </w:t>
            </w:r>
            <w:r w:rsidR="00F07867">
              <w:rPr>
                <w:i/>
                <w:sz w:val="24"/>
                <w:szCs w:val="24"/>
              </w:rPr>
              <w:t xml:space="preserve">                             </w:t>
            </w:r>
            <w:r>
              <w:rPr>
                <w:i/>
                <w:sz w:val="24"/>
                <w:szCs w:val="24"/>
              </w:rPr>
              <w:t xml:space="preserve">№ </w:t>
            </w:r>
            <w:r w:rsidR="00F07867">
              <w:rPr>
                <w:i/>
                <w:sz w:val="24"/>
                <w:szCs w:val="24"/>
              </w:rPr>
              <w:t>370582637</w:t>
            </w:r>
            <w:r>
              <w:rPr>
                <w:i/>
                <w:sz w:val="24"/>
                <w:szCs w:val="24"/>
              </w:rPr>
              <w:t>).</w:t>
            </w:r>
          </w:p>
        </w:tc>
      </w:tr>
      <w:tr w:rsidR="00E12AC0" w:rsidRPr="003774B2" w14:paraId="44C55D8C" w14:textId="77777777" w:rsidTr="00EA27C8">
        <w:trPr>
          <w:cantSplit/>
          <w:trHeight w:val="1644"/>
        </w:trPr>
        <w:tc>
          <w:tcPr>
            <w:tcW w:w="3462" w:type="dxa"/>
          </w:tcPr>
          <w:p w14:paraId="7162150E" w14:textId="359B3034" w:rsidR="00E12AC0" w:rsidRPr="00F07867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437" w:type="dxa"/>
          </w:tcPr>
          <w:p w14:paraId="5ACEA60E" w14:textId="729A9C80" w:rsidR="00E12AC0" w:rsidRPr="00E12AC0" w:rsidRDefault="00C2624F" w:rsidP="005E00E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Відповідно до дет</w:t>
            </w:r>
            <w:r w:rsidR="00E12AC0" w:rsidRPr="00E12AC0">
              <w:rPr>
                <w:i/>
                <w:sz w:val="24"/>
                <w:szCs w:val="24"/>
              </w:rPr>
              <w:t>альн</w:t>
            </w:r>
            <w:r>
              <w:rPr>
                <w:i/>
                <w:sz w:val="24"/>
                <w:szCs w:val="24"/>
              </w:rPr>
              <w:t>ого</w:t>
            </w:r>
            <w:r w:rsidR="00E12AC0" w:rsidRPr="00E12AC0">
              <w:rPr>
                <w:i/>
                <w:sz w:val="24"/>
                <w:szCs w:val="24"/>
              </w:rPr>
              <w:t xml:space="preserve"> </w:t>
            </w:r>
            <w:r w:rsidR="00E12AC0" w:rsidRPr="00EA27C8">
              <w:rPr>
                <w:i/>
                <w:sz w:val="24"/>
                <w:szCs w:val="24"/>
              </w:rPr>
              <w:t>план</w:t>
            </w:r>
            <w:r w:rsidRPr="00EA27C8">
              <w:rPr>
                <w:i/>
                <w:sz w:val="24"/>
                <w:szCs w:val="24"/>
              </w:rPr>
              <w:t>у території</w:t>
            </w:r>
            <w:r w:rsidR="00EA27C8" w:rsidRPr="00EA27C8">
              <w:rPr>
                <w:i/>
                <w:sz w:val="24"/>
                <w:szCs w:val="24"/>
              </w:rPr>
              <w:t xml:space="preserve"> </w:t>
            </w:r>
            <w:r w:rsidR="005E00E4">
              <w:rPr>
                <w:i/>
                <w:sz w:val="24"/>
                <w:szCs w:val="24"/>
              </w:rPr>
              <w:t>мікрорайону Жуляни,</w:t>
            </w:r>
            <w:r>
              <w:rPr>
                <w:i/>
                <w:sz w:val="24"/>
                <w:szCs w:val="24"/>
              </w:rPr>
              <w:t xml:space="preserve"> затвердженого</w:t>
            </w:r>
            <w:r w:rsidRPr="00E12AC0">
              <w:rPr>
                <w:i/>
                <w:sz w:val="24"/>
                <w:szCs w:val="24"/>
              </w:rPr>
              <w:t xml:space="preserve"> рішенням Київської міської ради </w:t>
            </w:r>
            <w:r w:rsidRPr="005E00E4">
              <w:rPr>
                <w:i/>
                <w:sz w:val="24"/>
                <w:szCs w:val="24"/>
              </w:rPr>
              <w:t xml:space="preserve">від </w:t>
            </w:r>
            <w:r w:rsidR="005E00E4" w:rsidRPr="005E00E4">
              <w:rPr>
                <w:i/>
                <w:sz w:val="24"/>
                <w:szCs w:val="24"/>
              </w:rPr>
              <w:t>14.06.2007</w:t>
            </w:r>
            <w:r w:rsidR="00F02B99" w:rsidRPr="005E00E4">
              <w:rPr>
                <w:i/>
                <w:sz w:val="24"/>
                <w:szCs w:val="24"/>
              </w:rPr>
              <w:t xml:space="preserve"> </w:t>
            </w:r>
            <w:r w:rsidRPr="005E00E4">
              <w:rPr>
                <w:i/>
                <w:sz w:val="24"/>
                <w:szCs w:val="24"/>
              </w:rPr>
              <w:t>№</w:t>
            </w:r>
            <w:r w:rsidR="00092818" w:rsidRPr="005E00E4">
              <w:rPr>
                <w:i/>
                <w:sz w:val="24"/>
                <w:szCs w:val="24"/>
              </w:rPr>
              <w:t xml:space="preserve"> </w:t>
            </w:r>
            <w:r w:rsidR="005E00E4" w:rsidRPr="005E00E4">
              <w:rPr>
                <w:i/>
                <w:sz w:val="24"/>
                <w:szCs w:val="24"/>
              </w:rPr>
              <w:t>796</w:t>
            </w:r>
            <w:r w:rsidR="005E00E4">
              <w:rPr>
                <w:i/>
                <w:sz w:val="24"/>
                <w:szCs w:val="24"/>
              </w:rPr>
              <w:t>/1457</w:t>
            </w:r>
            <w:r w:rsidR="00092818">
              <w:rPr>
                <w:i/>
                <w:sz w:val="24"/>
                <w:szCs w:val="24"/>
              </w:rPr>
              <w:t>,</w:t>
            </w:r>
            <w:r w:rsidR="006A43A2">
              <w:rPr>
                <w:i/>
                <w:sz w:val="24"/>
                <w:szCs w:val="24"/>
              </w:rPr>
              <w:t xml:space="preserve"> земельна ділянка за функціональним призначенням належить </w:t>
            </w:r>
            <w:r w:rsidR="006A43A2" w:rsidRPr="00092818">
              <w:rPr>
                <w:i/>
                <w:sz w:val="24"/>
                <w:szCs w:val="24"/>
              </w:rPr>
              <w:t xml:space="preserve">до території </w:t>
            </w:r>
            <w:r w:rsidR="005E00E4">
              <w:rPr>
                <w:i/>
                <w:sz w:val="24"/>
                <w:szCs w:val="24"/>
              </w:rPr>
              <w:t>житлової садибної</w:t>
            </w:r>
            <w:r w:rsidR="006A43A2" w:rsidRPr="00092818">
              <w:rPr>
                <w:i/>
                <w:sz w:val="24"/>
                <w:szCs w:val="24"/>
              </w:rPr>
              <w:t xml:space="preserve"> </w:t>
            </w:r>
            <w:r w:rsidR="00F02B99" w:rsidRPr="00092818">
              <w:rPr>
                <w:i/>
                <w:sz w:val="24"/>
                <w:szCs w:val="24"/>
              </w:rPr>
              <w:t>забудови</w:t>
            </w:r>
            <w:r w:rsidR="005E00E4">
              <w:rPr>
                <w:i/>
                <w:sz w:val="24"/>
                <w:szCs w:val="24"/>
              </w:rPr>
              <w:t xml:space="preserve"> </w:t>
            </w:r>
            <w:r w:rsidR="005E00E4" w:rsidRPr="0063277D">
              <w:rPr>
                <w:i/>
                <w:color w:val="auto"/>
                <w:sz w:val="24"/>
                <w:szCs w:val="24"/>
              </w:rPr>
              <w:t>(існуюч</w:t>
            </w:r>
            <w:r w:rsidR="005E00E4">
              <w:rPr>
                <w:i/>
                <w:color w:val="auto"/>
                <w:sz w:val="24"/>
                <w:szCs w:val="24"/>
              </w:rPr>
              <w:t>і</w:t>
            </w:r>
            <w:r w:rsidR="005E00E4" w:rsidRPr="0063277D">
              <w:rPr>
                <w:i/>
                <w:color w:val="auto"/>
                <w:sz w:val="24"/>
                <w:szCs w:val="24"/>
              </w:rPr>
              <w:t>)</w:t>
            </w:r>
            <w:r w:rsidR="005E00E4" w:rsidRPr="0063255D">
              <w:rPr>
                <w:i/>
                <w:color w:val="auto"/>
                <w:sz w:val="24"/>
                <w:szCs w:val="24"/>
              </w:rPr>
              <w:t xml:space="preserve"> </w:t>
            </w:r>
            <w:r w:rsidR="005E00E4">
              <w:rPr>
                <w:i/>
                <w:color w:val="auto"/>
                <w:sz w:val="24"/>
                <w:szCs w:val="24"/>
              </w:rPr>
              <w:t xml:space="preserve">витяг з містобудівної документації наданий листом </w:t>
            </w:r>
            <w:r w:rsidR="005E00E4" w:rsidRPr="005E00E4">
              <w:rPr>
                <w:i/>
                <w:sz w:val="24"/>
                <w:szCs w:val="24"/>
              </w:rPr>
              <w:t xml:space="preserve">від </w:t>
            </w:r>
            <w:r w:rsidR="005E00E4">
              <w:rPr>
                <w:i/>
                <w:sz w:val="24"/>
                <w:szCs w:val="24"/>
              </w:rPr>
              <w:t>11.12.2023</w:t>
            </w:r>
            <w:r w:rsidR="005E00E4" w:rsidRPr="005E00E4">
              <w:rPr>
                <w:i/>
                <w:sz w:val="24"/>
                <w:szCs w:val="24"/>
              </w:rPr>
              <w:t xml:space="preserve"> № </w:t>
            </w:r>
            <w:r w:rsidR="005E00E4">
              <w:rPr>
                <w:i/>
                <w:sz w:val="24"/>
                <w:szCs w:val="24"/>
              </w:rPr>
              <w:t>055-10300</w:t>
            </w:r>
            <w:r w:rsidR="005E00E4" w:rsidRPr="0063255D">
              <w:rPr>
                <w:i/>
                <w:color w:val="auto"/>
                <w:sz w:val="24"/>
                <w:szCs w:val="24"/>
              </w:rPr>
              <w:t xml:space="preserve"> Департамент</w:t>
            </w:r>
            <w:r w:rsidR="005E00E4">
              <w:rPr>
                <w:i/>
                <w:color w:val="auto"/>
                <w:sz w:val="24"/>
                <w:szCs w:val="24"/>
              </w:rPr>
              <w:t>ом</w:t>
            </w:r>
            <w:r w:rsidR="005E00E4" w:rsidRPr="0063255D">
              <w:rPr>
                <w:i/>
                <w:color w:val="auto"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</w:t>
            </w:r>
            <w:r w:rsidR="005E00E4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E12AC0" w:rsidRPr="003774B2" w14:paraId="53F755AF" w14:textId="77777777" w:rsidTr="00EA27C8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7" w:type="dxa"/>
          </w:tcPr>
          <w:p w14:paraId="14888231" w14:textId="0A9AB900" w:rsidR="00E12AC0" w:rsidRPr="00E12AC0" w:rsidRDefault="00F02B99" w:rsidP="005E00E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02B99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A27C8">
              <w:rPr>
                <w:i/>
                <w:sz w:val="24"/>
                <w:szCs w:val="24"/>
              </w:rPr>
              <w:t xml:space="preserve"> Києва</w:t>
            </w:r>
            <w:r w:rsidRPr="00F02B99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EA27C8">
              <w:rPr>
                <w:i/>
                <w:sz w:val="24"/>
                <w:szCs w:val="24"/>
              </w:rPr>
              <w:t xml:space="preserve">               </w:t>
            </w:r>
            <w:r w:rsidRPr="00F02B99">
              <w:rPr>
                <w:i/>
                <w:sz w:val="24"/>
                <w:szCs w:val="24"/>
              </w:rPr>
              <w:t xml:space="preserve"> від 28</w:t>
            </w:r>
            <w:r w:rsidR="004E223D">
              <w:rPr>
                <w:i/>
                <w:sz w:val="24"/>
                <w:szCs w:val="24"/>
              </w:rPr>
              <w:t>.03.</w:t>
            </w:r>
            <w:r w:rsidRPr="00F02B99">
              <w:rPr>
                <w:i/>
                <w:sz w:val="24"/>
                <w:szCs w:val="24"/>
              </w:rPr>
              <w:t xml:space="preserve">2002 № 370/1804, земельна ділянка за функціональним призначенням належить до </w:t>
            </w:r>
            <w:r w:rsidR="005E00E4" w:rsidRPr="00092818">
              <w:rPr>
                <w:i/>
                <w:sz w:val="24"/>
                <w:szCs w:val="24"/>
              </w:rPr>
              <w:t xml:space="preserve">території </w:t>
            </w:r>
            <w:r w:rsidR="005E00E4">
              <w:rPr>
                <w:i/>
                <w:sz w:val="24"/>
                <w:szCs w:val="24"/>
              </w:rPr>
              <w:t>житлової садибної</w:t>
            </w:r>
            <w:r w:rsidR="005E00E4" w:rsidRPr="00092818">
              <w:rPr>
                <w:i/>
                <w:sz w:val="24"/>
                <w:szCs w:val="24"/>
              </w:rPr>
              <w:t xml:space="preserve"> забудови.</w:t>
            </w:r>
          </w:p>
        </w:tc>
      </w:tr>
      <w:tr w:rsidR="00765699" w:rsidRPr="003774B2" w14:paraId="67EEAA64" w14:textId="77777777" w:rsidTr="00EA27C8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437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EA27C8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437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EA27C8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437" w:type="dxa"/>
          </w:tcPr>
          <w:p w14:paraId="7D4E1238" w14:textId="77777777" w:rsidR="005E00E4" w:rsidRDefault="005E00E4" w:rsidP="005E00E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71DEE8C" w14:textId="77777777" w:rsidR="005E00E4" w:rsidRDefault="005E00E4" w:rsidP="005E00E4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Зазначене підтверджується, зокрема, рішеннями Верховного Суду від 28.04.2021 у справі № 826/8857/16,  від 17.04.2018 у справі № 826/8107/16, від 16.09.2021 у справі № 826/8847/16. </w:t>
            </w:r>
          </w:p>
          <w:p w14:paraId="6528D3CD" w14:textId="1255429C" w:rsidR="00812178" w:rsidRPr="003774B2" w:rsidRDefault="005E00E4" w:rsidP="005E00E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559F6C70" w14:textId="77777777" w:rsidR="005E00E4" w:rsidRDefault="005E00E4" w:rsidP="005E00E4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DF2891">
        <w:rPr>
          <w:sz w:val="24"/>
          <w:szCs w:val="24"/>
        </w:rPr>
        <w:t>від 20</w:t>
      </w:r>
      <w:r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600FF7A0" w14:textId="77777777" w:rsidR="005E00E4" w:rsidRPr="009078AA" w:rsidRDefault="005E00E4" w:rsidP="005E00E4">
      <w:pPr>
        <w:pStyle w:val="1"/>
        <w:shd w:val="clear" w:color="auto" w:fill="auto"/>
        <w:tabs>
          <w:tab w:val="left" w:pos="709"/>
          <w:tab w:val="left" w:pos="851"/>
        </w:tabs>
        <w:spacing w:after="0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Pr="009078AA">
        <w:rPr>
          <w:sz w:val="24"/>
          <w:szCs w:val="24"/>
        </w:rPr>
        <w:t>кт</w:t>
      </w:r>
      <w:proofErr w:type="spellEnd"/>
      <w:r w:rsidRPr="009078AA">
        <w:rPr>
          <w:sz w:val="24"/>
          <w:szCs w:val="24"/>
        </w:rPr>
        <w:t xml:space="preserve"> рішення містить інформацію </w:t>
      </w:r>
      <w:r>
        <w:rPr>
          <w:sz w:val="24"/>
          <w:szCs w:val="24"/>
        </w:rPr>
        <w:t xml:space="preserve">про заявника, що відноситься до інформації </w:t>
      </w:r>
      <w:r w:rsidRPr="009078AA">
        <w:rPr>
          <w:sz w:val="24"/>
          <w:szCs w:val="24"/>
        </w:rPr>
        <w:t>з обмеженим доступом у розумінні статті 6 Закону України «Про доступ до публічної інформації».</w:t>
      </w:r>
    </w:p>
    <w:p w14:paraId="5F9BA764" w14:textId="77777777" w:rsidR="005E00E4" w:rsidRDefault="005E00E4" w:rsidP="005E00E4">
      <w:pPr>
        <w:pStyle w:val="1"/>
        <w:shd w:val="clear" w:color="auto" w:fill="auto"/>
        <w:spacing w:after="0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Default="00114807" w:rsidP="00B01BB2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412C9D4C" w14:textId="77777777" w:rsidR="00B01BB2" w:rsidRPr="003774B2" w:rsidRDefault="00B01BB2" w:rsidP="00B01BB2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1ACA2C64" w14:textId="38D284D5" w:rsidR="00B01BB2" w:rsidRDefault="00114807" w:rsidP="00B01B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5E673757" w14:textId="77777777" w:rsidR="00B01BB2" w:rsidRDefault="00B01BB2" w:rsidP="00B01BB2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Наслідками </w:t>
      </w:r>
      <w:r w:rsidRPr="00534AE7">
        <w:rPr>
          <w:sz w:val="24"/>
          <w:szCs w:val="24"/>
        </w:rPr>
        <w:t xml:space="preserve">прийняття розробленого </w:t>
      </w:r>
      <w:proofErr w:type="spellStart"/>
      <w:r w:rsidRPr="00534AE7">
        <w:rPr>
          <w:sz w:val="24"/>
          <w:szCs w:val="24"/>
        </w:rPr>
        <w:t>проєкту</w:t>
      </w:r>
      <w:proofErr w:type="spellEnd"/>
      <w:r w:rsidRPr="00534AE7">
        <w:rPr>
          <w:sz w:val="24"/>
          <w:szCs w:val="24"/>
        </w:rPr>
        <w:t xml:space="preserve"> рішення стане реалізація </w:t>
      </w:r>
      <w:r>
        <w:rPr>
          <w:sz w:val="24"/>
          <w:szCs w:val="24"/>
        </w:rPr>
        <w:t>громадянами</w:t>
      </w:r>
      <w:r w:rsidRPr="00534AE7">
        <w:rPr>
          <w:sz w:val="24"/>
          <w:szCs w:val="24"/>
        </w:rPr>
        <w:t xml:space="preserve"> своїх прав </w:t>
      </w:r>
      <w:r>
        <w:rPr>
          <w:sz w:val="24"/>
          <w:szCs w:val="24"/>
        </w:rPr>
        <w:t>на оформлення земельної ділянки яка перебуває у їх користуванні.</w:t>
      </w:r>
    </w:p>
    <w:p w14:paraId="4C627524" w14:textId="77777777" w:rsidR="005E00E4" w:rsidRDefault="005E00E4" w:rsidP="005E00E4">
      <w:pPr>
        <w:pStyle w:val="1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677B86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5E00E4">
      <w:headerReference w:type="default" r:id="rId9"/>
      <w:footerReference w:type="default" r:id="rId10"/>
      <w:pgSz w:w="11907" w:h="16839" w:code="9"/>
      <w:pgMar w:top="851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212F" w14:textId="0F17C388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677B86">
      <w:rPr>
        <w:sz w:val="12"/>
        <w:szCs w:val="12"/>
        <w:lang w:val="ru-RU"/>
      </w:rPr>
      <w:t>ПЗН-64023</w:t>
    </w:r>
    <w:r w:rsidR="00862990">
      <w:rPr>
        <w:sz w:val="12"/>
        <w:szCs w:val="12"/>
      </w:rPr>
      <w:t xml:space="preserve"> від </w:t>
    </w:r>
    <w:r w:rsidR="00B2667F" w:rsidRPr="00677B86">
      <w:rPr>
        <w:sz w:val="12"/>
        <w:szCs w:val="12"/>
        <w:lang w:val="ru-RU"/>
      </w:rPr>
      <w:t>25.03.2024</w:t>
    </w:r>
    <w:r w:rsidR="005E00E4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227786753</w:t>
    </w:r>
  </w:p>
  <w:p w14:paraId="2E60DAB9" w14:textId="3873757D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269663857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63CDA" w:rsidRPr="00263CD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8673966">
    <w:abstractNumId w:val="2"/>
  </w:num>
  <w:num w:numId="2" w16cid:durableId="584535941">
    <w:abstractNumId w:val="0"/>
  </w:num>
  <w:num w:numId="3" w16cid:durableId="817454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CD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5E00E4"/>
    <w:rsid w:val="006006CF"/>
    <w:rsid w:val="00604821"/>
    <w:rsid w:val="00615185"/>
    <w:rsid w:val="006212E0"/>
    <w:rsid w:val="00632173"/>
    <w:rsid w:val="0064781D"/>
    <w:rsid w:val="00677B86"/>
    <w:rsid w:val="00682BA2"/>
    <w:rsid w:val="00687415"/>
    <w:rsid w:val="006903E8"/>
    <w:rsid w:val="006A0D5A"/>
    <w:rsid w:val="006A3391"/>
    <w:rsid w:val="006A43A2"/>
    <w:rsid w:val="006C23AE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01BB2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07867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5E00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>Пояснювальна записка Фіз передача дозвіл (передача)</vt:lpstr>
    </vt:vector>
  </TitlesOfParts>
  <Manager>Управління землеустрою</Manager>
  <Company>ДЕПАРТАМЕНТ ЗЕМЕЛЬНИХ РЕСУРСІВ</Company>
  <LinksUpToDate>false</LinksUpToDate>
  <CharactersWithSpaces>4992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Шинкарчук Оксана Олексіївна</cp:lastModifiedBy>
  <cp:revision>90</cp:revision>
  <cp:lastPrinted>2024-03-26T07:27:00Z</cp:lastPrinted>
  <dcterms:created xsi:type="dcterms:W3CDTF">2019-11-25T15:42:00Z</dcterms:created>
  <dcterms:modified xsi:type="dcterms:W3CDTF">2024-03-26T07:43:00Z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2024-03-26T07:43:09Z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4f37aa3c-e466-4187-828b-c305fe0d927a</vt:lpwstr>
  </property>
  <property fmtid="{D5CDD505-2E9C-101B-9397-08002B2CF9AE}" pid="8" name="MSIP_Label_defa4170-0d19-0005-0004-bc88714345d2_ContentBits">
    <vt:lpwstr>0</vt:lpwstr>
  </property>
</Properties>
</file>