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6F7F" w14:textId="0DC84606" w:rsidR="00A710D9" w:rsidRPr="004B37ED" w:rsidRDefault="00D72293" w:rsidP="00506CBE">
      <w:pPr>
        <w:widowControl/>
        <w:autoSpaceDE/>
        <w:autoSpaceDN/>
        <w:ind w:firstLine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3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14:paraId="043C568C" w14:textId="5AB54069" w:rsidR="00A710D9" w:rsidRPr="004B37ED" w:rsidRDefault="00FD64E2" w:rsidP="00506CBE">
      <w:pPr>
        <w:widowControl/>
        <w:autoSpaceDE/>
        <w:autoSpaceDN/>
        <w:ind w:left="5760" w:firstLine="47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3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A710D9" w:rsidRPr="004B3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 Київської міської ради</w:t>
      </w:r>
    </w:p>
    <w:p w14:paraId="19D0F2A2" w14:textId="4A7E076A" w:rsidR="00A710D9" w:rsidRPr="004B37ED" w:rsidRDefault="00575025" w:rsidP="00575025">
      <w:pPr>
        <w:widowControl/>
        <w:autoSpaceDE/>
        <w:autoSpaceDN/>
        <w:ind w:left="57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3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A710D9" w:rsidRPr="004B3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506CBE" w:rsidRPr="004B3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710D9" w:rsidRPr="004B3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______________№</w:t>
      </w:r>
      <w:r w:rsidRPr="004B3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="00A710D9" w:rsidRPr="004B3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</w:t>
      </w:r>
    </w:p>
    <w:p w14:paraId="7FF8E60C" w14:textId="77777777" w:rsidR="00A710D9" w:rsidRPr="004B37ED" w:rsidRDefault="00A710D9" w:rsidP="00A710D9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9E5937" w14:textId="77777777" w:rsidR="00D370A6" w:rsidRPr="004B37ED" w:rsidRDefault="00D370A6" w:rsidP="00D370A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3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Зміни</w:t>
      </w:r>
    </w:p>
    <w:p w14:paraId="77D15A62" w14:textId="01ECDD21" w:rsidR="00B4256C" w:rsidRPr="004B37ED" w:rsidRDefault="00D370A6" w:rsidP="00D370A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3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міської цільової програми «Підтримка та розвиток галузі охорони здоров</w:t>
      </w:r>
      <w:r w:rsidR="00506CBE" w:rsidRPr="004B3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4B3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столиці</w:t>
      </w:r>
      <w:r w:rsidR="00666EDB" w:rsidRPr="004B3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B3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2024–2025 роки</w:t>
      </w:r>
      <w:r w:rsidR="00D45BD5" w:rsidRPr="004B3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B3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затвердженої рішенням Київської міської ради </w:t>
      </w:r>
    </w:p>
    <w:p w14:paraId="358565C7" w14:textId="77777777" w:rsidR="00D370A6" w:rsidRPr="004B37ED" w:rsidRDefault="00D370A6" w:rsidP="00D370A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3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05 жовтня 2023 року № 7108/7149</w:t>
      </w:r>
    </w:p>
    <w:p w14:paraId="599E46A7" w14:textId="77777777" w:rsidR="00D370A6" w:rsidRPr="004B37ED" w:rsidRDefault="00D370A6" w:rsidP="00477BDF">
      <w:pPr>
        <w:pStyle w:val="b-artintro"/>
        <w:shd w:val="clear" w:color="auto" w:fill="FCFCFC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</w:p>
    <w:p w14:paraId="280959D3" w14:textId="411E2712" w:rsidR="002A0453" w:rsidRPr="004B37ED" w:rsidRDefault="002A0453" w:rsidP="00477BDF">
      <w:pPr>
        <w:pStyle w:val="b-artintro"/>
        <w:shd w:val="clear" w:color="auto" w:fill="FCFCFC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4B37ED">
        <w:rPr>
          <w:color w:val="000000" w:themeColor="text1"/>
          <w:sz w:val="26"/>
          <w:szCs w:val="26"/>
        </w:rPr>
        <w:t>1. Позицію 8 розділу І «Паспорт міської цільової програми «Підтримка та розвиток галузі охорони здоров’я столиці» на 2024–2025 роки» міської цільової програми «Підтримка та розвиток галузі охорони здоров’я столиці»</w:t>
      </w:r>
      <w:r w:rsidR="00D072E7" w:rsidRPr="00D072E7">
        <w:t xml:space="preserve"> </w:t>
      </w:r>
      <w:r w:rsidR="00D072E7" w:rsidRPr="00D072E7">
        <w:rPr>
          <w:color w:val="000000" w:themeColor="text1"/>
          <w:sz w:val="26"/>
          <w:szCs w:val="26"/>
        </w:rPr>
        <w:t>на 2024–2025 роки»</w:t>
      </w:r>
      <w:r w:rsidRPr="004B37ED">
        <w:rPr>
          <w:color w:val="000000" w:themeColor="text1"/>
          <w:sz w:val="26"/>
          <w:szCs w:val="26"/>
        </w:rPr>
        <w:t>, затвердженої рішенням Київської міської ради від 05 жовтня 2023 року № 7108/7149, викласти в такій редакції:</w:t>
      </w:r>
    </w:p>
    <w:p w14:paraId="09C7AF60" w14:textId="77777777" w:rsidR="002A0453" w:rsidRPr="004B37ED" w:rsidRDefault="002A0453" w:rsidP="002A0453">
      <w:pPr>
        <w:pStyle w:val="b-artintro"/>
        <w:shd w:val="clear" w:color="auto" w:fill="FCFCFC"/>
        <w:spacing w:before="0" w:beforeAutospacing="0" w:after="0" w:afterAutospacing="0"/>
        <w:ind w:firstLine="567"/>
        <w:rPr>
          <w:color w:val="000000" w:themeColor="text1"/>
          <w:sz w:val="26"/>
          <w:szCs w:val="26"/>
        </w:rPr>
      </w:pPr>
      <w:r w:rsidRPr="004B37ED">
        <w:rPr>
          <w:color w:val="000000" w:themeColor="text1"/>
          <w:sz w:val="26"/>
          <w:szCs w:val="26"/>
        </w:rPr>
        <w:t>«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2"/>
        <w:gridCol w:w="3108"/>
        <w:gridCol w:w="2231"/>
        <w:gridCol w:w="2231"/>
        <w:gridCol w:w="2231"/>
      </w:tblGrid>
      <w:tr w:rsidR="002A0453" w:rsidRPr="00F84CB3" w14:paraId="1F4CAA44" w14:textId="77777777" w:rsidTr="00E30543">
        <w:trPr>
          <w:trHeight w:val="45"/>
        </w:trPr>
        <w:tc>
          <w:tcPr>
            <w:tcW w:w="422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C9FA06F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bookmarkStart w:id="0" w:name="26"/>
            <w:bookmarkStart w:id="1" w:name="38"/>
            <w:bookmarkStart w:id="2" w:name="41"/>
            <w:bookmarkEnd w:id="0"/>
            <w:bookmarkEnd w:id="1"/>
            <w:bookmarkEnd w:id="2"/>
            <w:r w:rsidRPr="004B37ED">
              <w:rPr>
                <w:color w:val="000000" w:themeColor="text1"/>
                <w:sz w:val="26"/>
                <w:szCs w:val="26"/>
              </w:rPr>
              <w:t>8</w:t>
            </w:r>
            <w:bookmarkStart w:id="3" w:name="2339"/>
            <w:bookmarkEnd w:id="3"/>
          </w:p>
        </w:tc>
        <w:tc>
          <w:tcPr>
            <w:tcW w:w="1452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2DAA2C2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Обсяги фінансових ресурсів, необхідних для реалізації програми</w:t>
            </w:r>
            <w:bookmarkStart w:id="4" w:name="2340"/>
            <w:bookmarkEnd w:id="4"/>
          </w:p>
        </w:tc>
        <w:tc>
          <w:tcPr>
            <w:tcW w:w="1042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8A2BD8D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 xml:space="preserve">Всього </w:t>
            </w:r>
            <w:r w:rsidRPr="004B37ED">
              <w:rPr>
                <w:color w:val="000000" w:themeColor="text1"/>
                <w:sz w:val="26"/>
                <w:szCs w:val="26"/>
              </w:rPr>
              <w:br/>
              <w:t>(тис. грн)</w:t>
            </w:r>
            <w:bookmarkStart w:id="5" w:name="2341"/>
            <w:bookmarkEnd w:id="5"/>
          </w:p>
        </w:tc>
        <w:tc>
          <w:tcPr>
            <w:tcW w:w="2084" w:type="pct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64E923A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у тому числі за роками</w:t>
            </w:r>
            <w:bookmarkStart w:id="6" w:name="2342"/>
            <w:bookmarkEnd w:id="6"/>
          </w:p>
        </w:tc>
      </w:tr>
      <w:tr w:rsidR="002A0453" w:rsidRPr="004B37ED" w14:paraId="0271CF06" w14:textId="77777777" w:rsidTr="00E30543">
        <w:trPr>
          <w:trHeight w:val="45"/>
        </w:trPr>
        <w:tc>
          <w:tcPr>
            <w:tcW w:w="422" w:type="pct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14:paraId="5B2CBB75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2" w:type="pct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14:paraId="5E205FA7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42" w:type="pct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14:paraId="1B0275F1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42" w:type="pct"/>
            <w:tcBorders>
              <w:top w:val="outset" w:sz="8" w:space="0" w:color="000000"/>
              <w:left w:val="outset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36416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2024</w:t>
            </w:r>
            <w:bookmarkStart w:id="7" w:name="2343"/>
            <w:bookmarkEnd w:id="7"/>
          </w:p>
        </w:tc>
        <w:tc>
          <w:tcPr>
            <w:tcW w:w="1042" w:type="pct"/>
            <w:tcBorders>
              <w:top w:val="outset" w:sz="8" w:space="0" w:color="000000"/>
              <w:left w:val="single" w:sz="8" w:space="0" w:color="auto"/>
              <w:bottom w:val="single" w:sz="8" w:space="0" w:color="auto"/>
              <w:right w:val="outset" w:sz="8" w:space="0" w:color="000000"/>
            </w:tcBorders>
            <w:shd w:val="clear" w:color="auto" w:fill="auto"/>
            <w:vAlign w:val="center"/>
          </w:tcPr>
          <w:p w14:paraId="0DD3690D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2025</w:t>
            </w:r>
            <w:bookmarkStart w:id="8" w:name="2344"/>
            <w:bookmarkEnd w:id="8"/>
          </w:p>
        </w:tc>
      </w:tr>
      <w:tr w:rsidR="002A0453" w:rsidRPr="004B37ED" w14:paraId="0D2EC65B" w14:textId="77777777" w:rsidTr="00E30543">
        <w:trPr>
          <w:trHeight w:val="498"/>
        </w:trPr>
        <w:tc>
          <w:tcPr>
            <w:tcW w:w="422" w:type="pct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14:paraId="631FCE9A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2" w:type="pct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14:paraId="5645D758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42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0631CF1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26 754 321,37</w:t>
            </w:r>
          </w:p>
        </w:tc>
        <w:tc>
          <w:tcPr>
            <w:tcW w:w="1042" w:type="pct"/>
            <w:vMerge w:val="restart"/>
            <w:tcBorders>
              <w:top w:val="single" w:sz="8" w:space="0" w:color="auto"/>
              <w:left w:val="outset" w:sz="8" w:space="0" w:color="000000"/>
              <w:bottom w:val="outset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5A1874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12 654 915,7</w:t>
            </w:r>
            <w:bookmarkStart w:id="9" w:name="2346"/>
            <w:bookmarkEnd w:id="9"/>
            <w:r w:rsidRPr="004B37ED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042" w:type="pct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C68D7E1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1</w:t>
            </w:r>
            <w:bookmarkStart w:id="10" w:name="2347"/>
            <w:bookmarkEnd w:id="10"/>
            <w:r w:rsidRPr="004B37ED">
              <w:rPr>
                <w:color w:val="000000" w:themeColor="text1"/>
                <w:sz w:val="26"/>
                <w:szCs w:val="26"/>
              </w:rPr>
              <w:t>4 099 405,63</w:t>
            </w:r>
          </w:p>
        </w:tc>
      </w:tr>
      <w:tr w:rsidR="002A0453" w:rsidRPr="004B37ED" w14:paraId="150D04A2" w14:textId="77777777" w:rsidTr="00E30543">
        <w:trPr>
          <w:trHeight w:val="45"/>
        </w:trPr>
        <w:tc>
          <w:tcPr>
            <w:tcW w:w="422" w:type="pct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14:paraId="567C4F06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9F07B55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Всього</w:t>
            </w:r>
            <w:bookmarkStart w:id="11" w:name="2348"/>
            <w:bookmarkEnd w:id="11"/>
          </w:p>
        </w:tc>
        <w:tc>
          <w:tcPr>
            <w:tcW w:w="1042" w:type="pct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14:paraId="19B86A23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42" w:type="pct"/>
            <w:vMerge/>
            <w:tcBorders>
              <w:left w:val="outset" w:sz="8" w:space="0" w:color="000000"/>
              <w:bottom w:val="outset" w:sz="8" w:space="0" w:color="000000"/>
              <w:right w:val="single" w:sz="8" w:space="0" w:color="auto"/>
            </w:tcBorders>
            <w:shd w:val="clear" w:color="auto" w:fill="auto"/>
          </w:tcPr>
          <w:p w14:paraId="52CC76BD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42" w:type="pct"/>
            <w:vMerge/>
            <w:tcBorders>
              <w:left w:val="single" w:sz="8" w:space="0" w:color="auto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14:paraId="08F40914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A0453" w:rsidRPr="00F84CB3" w14:paraId="1308B45F" w14:textId="77777777" w:rsidTr="00E30543">
        <w:trPr>
          <w:trHeight w:val="45"/>
        </w:trPr>
        <w:tc>
          <w:tcPr>
            <w:tcW w:w="422" w:type="pct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14:paraId="2F776F74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3FB7C40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у тому числі</w:t>
            </w:r>
            <w:r w:rsidRPr="004B37ED">
              <w:rPr>
                <w:color w:val="000000" w:themeColor="text1"/>
                <w:sz w:val="26"/>
                <w:szCs w:val="26"/>
              </w:rPr>
              <w:br/>
              <w:t>за джерелами:</w:t>
            </w:r>
            <w:bookmarkStart w:id="12" w:name="2349"/>
            <w:bookmarkEnd w:id="12"/>
          </w:p>
        </w:tc>
        <w:tc>
          <w:tcPr>
            <w:tcW w:w="10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1DA6530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 xml:space="preserve"> </w:t>
            </w:r>
            <w:bookmarkStart w:id="13" w:name="2350"/>
            <w:bookmarkEnd w:id="13"/>
          </w:p>
        </w:tc>
        <w:tc>
          <w:tcPr>
            <w:tcW w:w="10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268B649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 xml:space="preserve"> </w:t>
            </w:r>
            <w:bookmarkStart w:id="14" w:name="2351"/>
            <w:bookmarkEnd w:id="14"/>
          </w:p>
        </w:tc>
        <w:tc>
          <w:tcPr>
            <w:tcW w:w="10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625CBD0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 xml:space="preserve"> </w:t>
            </w:r>
            <w:bookmarkStart w:id="15" w:name="2352"/>
            <w:bookmarkEnd w:id="15"/>
          </w:p>
        </w:tc>
      </w:tr>
      <w:tr w:rsidR="002A0453" w:rsidRPr="004B37ED" w14:paraId="616C5C40" w14:textId="77777777" w:rsidTr="00E30543">
        <w:trPr>
          <w:trHeight w:val="45"/>
        </w:trPr>
        <w:tc>
          <w:tcPr>
            <w:tcW w:w="42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FFC50C4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8.1</w:t>
            </w:r>
            <w:bookmarkStart w:id="16" w:name="2353"/>
            <w:bookmarkEnd w:id="16"/>
          </w:p>
        </w:tc>
        <w:tc>
          <w:tcPr>
            <w:tcW w:w="145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DB34825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державний бюджет</w:t>
            </w:r>
            <w:bookmarkStart w:id="17" w:name="2354"/>
            <w:bookmarkEnd w:id="17"/>
          </w:p>
        </w:tc>
        <w:tc>
          <w:tcPr>
            <w:tcW w:w="10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1E37E39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 xml:space="preserve"> </w:t>
            </w:r>
            <w:bookmarkStart w:id="18" w:name="2355"/>
            <w:bookmarkEnd w:id="18"/>
          </w:p>
        </w:tc>
        <w:tc>
          <w:tcPr>
            <w:tcW w:w="10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F6E0ED3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 xml:space="preserve"> </w:t>
            </w:r>
            <w:bookmarkStart w:id="19" w:name="2356"/>
            <w:bookmarkEnd w:id="19"/>
          </w:p>
        </w:tc>
        <w:tc>
          <w:tcPr>
            <w:tcW w:w="10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C3B7E63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 xml:space="preserve"> </w:t>
            </w:r>
            <w:bookmarkStart w:id="20" w:name="2357"/>
            <w:bookmarkEnd w:id="20"/>
          </w:p>
        </w:tc>
      </w:tr>
      <w:tr w:rsidR="002A0453" w:rsidRPr="004B37ED" w14:paraId="26CA5E96" w14:textId="77777777" w:rsidTr="00E30543">
        <w:trPr>
          <w:trHeight w:val="45"/>
        </w:trPr>
        <w:tc>
          <w:tcPr>
            <w:tcW w:w="42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51BFD9C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8.2</w:t>
            </w:r>
            <w:bookmarkStart w:id="21" w:name="2358"/>
            <w:bookmarkEnd w:id="21"/>
          </w:p>
        </w:tc>
        <w:tc>
          <w:tcPr>
            <w:tcW w:w="145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DDD14E6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бюджет міста Києва</w:t>
            </w:r>
            <w:bookmarkStart w:id="22" w:name="2359"/>
            <w:bookmarkEnd w:id="22"/>
          </w:p>
        </w:tc>
        <w:tc>
          <w:tcPr>
            <w:tcW w:w="10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577A37B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23 490 991,75</w:t>
            </w:r>
          </w:p>
        </w:tc>
        <w:tc>
          <w:tcPr>
            <w:tcW w:w="10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9C77D1F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bCs/>
                <w:color w:val="000000" w:themeColor="text1"/>
                <w:sz w:val="26"/>
                <w:szCs w:val="26"/>
              </w:rPr>
              <w:t>11 048 318,08</w:t>
            </w:r>
            <w:bookmarkStart w:id="23" w:name="2361"/>
            <w:bookmarkEnd w:id="23"/>
          </w:p>
        </w:tc>
        <w:tc>
          <w:tcPr>
            <w:tcW w:w="10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5180D7E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bCs/>
                <w:color w:val="000000" w:themeColor="text1"/>
                <w:sz w:val="26"/>
                <w:szCs w:val="26"/>
              </w:rPr>
              <w:t>12 442 673,67</w:t>
            </w:r>
          </w:p>
        </w:tc>
      </w:tr>
      <w:tr w:rsidR="002A0453" w:rsidRPr="004B37ED" w14:paraId="4C172E0A" w14:textId="77777777" w:rsidTr="00E30543">
        <w:trPr>
          <w:trHeight w:val="45"/>
        </w:trPr>
        <w:tc>
          <w:tcPr>
            <w:tcW w:w="42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C9B62BB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8.3</w:t>
            </w:r>
            <w:bookmarkStart w:id="24" w:name="2363"/>
            <w:bookmarkEnd w:id="24"/>
          </w:p>
        </w:tc>
        <w:tc>
          <w:tcPr>
            <w:tcW w:w="145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027694A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інші джерела</w:t>
            </w:r>
            <w:bookmarkStart w:id="25" w:name="2364"/>
            <w:bookmarkEnd w:id="25"/>
          </w:p>
        </w:tc>
        <w:tc>
          <w:tcPr>
            <w:tcW w:w="10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2FF0F0D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3 263 329,62</w:t>
            </w:r>
            <w:bookmarkStart w:id="26" w:name="2365"/>
            <w:bookmarkEnd w:id="26"/>
          </w:p>
        </w:tc>
        <w:tc>
          <w:tcPr>
            <w:tcW w:w="10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DF15764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1 606 597,66</w:t>
            </w:r>
            <w:bookmarkStart w:id="27" w:name="2366"/>
            <w:bookmarkEnd w:id="27"/>
          </w:p>
        </w:tc>
        <w:tc>
          <w:tcPr>
            <w:tcW w:w="10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EB25FEE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ind w:firstLine="164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bCs/>
                <w:color w:val="000000" w:themeColor="text1"/>
                <w:sz w:val="26"/>
                <w:szCs w:val="26"/>
              </w:rPr>
              <w:t>1 656 731,96</w:t>
            </w:r>
            <w:bookmarkStart w:id="28" w:name="2367"/>
            <w:bookmarkEnd w:id="28"/>
          </w:p>
        </w:tc>
      </w:tr>
    </w:tbl>
    <w:p w14:paraId="304E03C9" w14:textId="19784F3B" w:rsidR="002A0453" w:rsidRDefault="002A0453" w:rsidP="002A0453">
      <w:pPr>
        <w:pStyle w:val="b-artintro"/>
        <w:shd w:val="clear" w:color="auto" w:fill="FCFCFC"/>
        <w:spacing w:before="0" w:beforeAutospacing="0" w:after="0" w:afterAutospacing="0"/>
        <w:ind w:firstLine="567"/>
        <w:rPr>
          <w:color w:val="000000" w:themeColor="text1"/>
          <w:sz w:val="26"/>
          <w:szCs w:val="26"/>
        </w:rPr>
      </w:pPr>
      <w:r w:rsidRPr="004B37ED">
        <w:rPr>
          <w:color w:val="000000" w:themeColor="text1"/>
          <w:sz w:val="26"/>
          <w:szCs w:val="26"/>
        </w:rPr>
        <w:tab/>
      </w:r>
      <w:r w:rsidRPr="004B37ED">
        <w:rPr>
          <w:color w:val="000000" w:themeColor="text1"/>
          <w:sz w:val="26"/>
          <w:szCs w:val="26"/>
        </w:rPr>
        <w:tab/>
      </w:r>
      <w:r w:rsidRPr="004B37ED">
        <w:rPr>
          <w:color w:val="000000" w:themeColor="text1"/>
          <w:sz w:val="26"/>
          <w:szCs w:val="26"/>
        </w:rPr>
        <w:tab/>
      </w:r>
      <w:r w:rsidRPr="004B37ED">
        <w:rPr>
          <w:color w:val="000000" w:themeColor="text1"/>
          <w:sz w:val="26"/>
          <w:szCs w:val="26"/>
        </w:rPr>
        <w:tab/>
      </w:r>
      <w:r w:rsidRPr="004B37ED">
        <w:rPr>
          <w:color w:val="000000" w:themeColor="text1"/>
          <w:sz w:val="26"/>
          <w:szCs w:val="26"/>
        </w:rPr>
        <w:tab/>
      </w:r>
      <w:r w:rsidRPr="004B37ED">
        <w:rPr>
          <w:color w:val="000000" w:themeColor="text1"/>
          <w:sz w:val="26"/>
          <w:szCs w:val="26"/>
        </w:rPr>
        <w:tab/>
      </w:r>
      <w:r w:rsidRPr="004B37ED">
        <w:rPr>
          <w:color w:val="000000" w:themeColor="text1"/>
          <w:sz w:val="26"/>
          <w:szCs w:val="26"/>
        </w:rPr>
        <w:tab/>
      </w:r>
      <w:r w:rsidRPr="004B37ED">
        <w:rPr>
          <w:color w:val="000000" w:themeColor="text1"/>
          <w:sz w:val="26"/>
          <w:szCs w:val="26"/>
        </w:rPr>
        <w:tab/>
      </w:r>
      <w:r w:rsidRPr="004B37ED">
        <w:rPr>
          <w:color w:val="000000" w:themeColor="text1"/>
          <w:sz w:val="26"/>
          <w:szCs w:val="26"/>
        </w:rPr>
        <w:tab/>
      </w:r>
      <w:r w:rsidRPr="004B37ED">
        <w:rPr>
          <w:color w:val="000000" w:themeColor="text1"/>
          <w:sz w:val="26"/>
          <w:szCs w:val="26"/>
        </w:rPr>
        <w:tab/>
      </w:r>
      <w:r w:rsidRPr="004B37ED">
        <w:rPr>
          <w:color w:val="000000" w:themeColor="text1"/>
          <w:sz w:val="26"/>
          <w:szCs w:val="26"/>
        </w:rPr>
        <w:tab/>
      </w:r>
      <w:r w:rsidRPr="004B37ED">
        <w:rPr>
          <w:color w:val="000000" w:themeColor="text1"/>
          <w:sz w:val="26"/>
          <w:szCs w:val="26"/>
        </w:rPr>
        <w:tab/>
      </w:r>
      <w:r w:rsidRPr="004B37ED">
        <w:rPr>
          <w:color w:val="000000" w:themeColor="text1"/>
          <w:sz w:val="26"/>
          <w:szCs w:val="26"/>
        </w:rPr>
        <w:tab/>
      </w:r>
      <w:r w:rsidRPr="004B37ED">
        <w:rPr>
          <w:color w:val="000000" w:themeColor="text1"/>
          <w:sz w:val="26"/>
          <w:szCs w:val="26"/>
        </w:rPr>
        <w:tab/>
        <w:t xml:space="preserve">  ».</w:t>
      </w:r>
    </w:p>
    <w:p w14:paraId="37845AD5" w14:textId="77777777" w:rsidR="00F84CB3" w:rsidRPr="004B37ED" w:rsidRDefault="00F84CB3" w:rsidP="002A0453">
      <w:pPr>
        <w:pStyle w:val="b-artintro"/>
        <w:shd w:val="clear" w:color="auto" w:fill="FCFCFC"/>
        <w:spacing w:before="0" w:beforeAutospacing="0" w:after="0" w:afterAutospacing="0"/>
        <w:ind w:firstLine="567"/>
        <w:rPr>
          <w:color w:val="000000" w:themeColor="text1"/>
          <w:sz w:val="26"/>
          <w:szCs w:val="26"/>
        </w:rPr>
      </w:pPr>
    </w:p>
    <w:p w14:paraId="3BF3FACE" w14:textId="3AEF4403" w:rsidR="002A0453" w:rsidRPr="004B37ED" w:rsidRDefault="002A0453" w:rsidP="00200948">
      <w:pPr>
        <w:pStyle w:val="b-artintro"/>
        <w:shd w:val="clear" w:color="auto" w:fill="FCFCFC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4B37ED">
        <w:rPr>
          <w:color w:val="000000" w:themeColor="text1"/>
          <w:sz w:val="26"/>
          <w:szCs w:val="26"/>
        </w:rPr>
        <w:t xml:space="preserve">2. Таблицю 2. Обсяг і джерела фінансування Програми розділу IV «Обґрунтування шляхів і засобів розв’язання проблем, обсягів </w:t>
      </w:r>
      <w:r w:rsidR="00223039">
        <w:rPr>
          <w:color w:val="000000" w:themeColor="text1"/>
          <w:sz w:val="26"/>
          <w:szCs w:val="26"/>
        </w:rPr>
        <w:t>та</w:t>
      </w:r>
      <w:r w:rsidRPr="004B37ED">
        <w:rPr>
          <w:color w:val="000000" w:themeColor="text1"/>
          <w:sz w:val="26"/>
          <w:szCs w:val="26"/>
        </w:rPr>
        <w:t xml:space="preserve"> джерел фінансування, строків виконання програми» міської цільової програми «Підтримка та розвиток галузі охорони здоров’я столиці»</w:t>
      </w:r>
      <w:r w:rsidR="00223039" w:rsidRPr="00223039">
        <w:t xml:space="preserve"> </w:t>
      </w:r>
      <w:r w:rsidR="00223039" w:rsidRPr="00223039">
        <w:rPr>
          <w:color w:val="000000" w:themeColor="text1"/>
          <w:sz w:val="26"/>
          <w:szCs w:val="26"/>
        </w:rPr>
        <w:t>міської цільової програми «Підтримка та розвиток галузі охорони здоров’я столиці» на 2024–2025 роки</w:t>
      </w:r>
      <w:r w:rsidRPr="004B37ED">
        <w:rPr>
          <w:color w:val="000000" w:themeColor="text1"/>
          <w:sz w:val="26"/>
          <w:szCs w:val="26"/>
        </w:rPr>
        <w:t>, затвердженої рішенням Київської міської ради від 05 жовтня 2023 року № 7108/7149, викласти в такій редакції:</w:t>
      </w:r>
    </w:p>
    <w:p w14:paraId="19E980F0" w14:textId="77777777" w:rsidR="00C668FE" w:rsidRPr="004B37ED" w:rsidRDefault="002A0453" w:rsidP="002A0453">
      <w:pPr>
        <w:pStyle w:val="b-artintro"/>
        <w:shd w:val="clear" w:color="auto" w:fill="FCFCFC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4B37ED">
        <w:rPr>
          <w:color w:val="000000" w:themeColor="text1"/>
          <w:sz w:val="26"/>
          <w:szCs w:val="26"/>
        </w:rPr>
        <w:t xml:space="preserve">« </w:t>
      </w:r>
    </w:p>
    <w:p w14:paraId="2E043155" w14:textId="77777777" w:rsidR="002A0453" w:rsidRPr="004B37ED" w:rsidRDefault="002A0453" w:rsidP="002A0453">
      <w:pPr>
        <w:pStyle w:val="b-artintro"/>
        <w:shd w:val="clear" w:color="auto" w:fill="FCFCFC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4B37ED">
        <w:rPr>
          <w:color w:val="000000" w:themeColor="text1"/>
          <w:sz w:val="26"/>
          <w:szCs w:val="26"/>
        </w:rPr>
        <w:tab/>
      </w:r>
      <w:r w:rsidRPr="004B37ED">
        <w:rPr>
          <w:color w:val="000000" w:themeColor="text1"/>
          <w:sz w:val="26"/>
          <w:szCs w:val="26"/>
        </w:rPr>
        <w:tab/>
      </w:r>
      <w:r w:rsidRPr="004B37ED">
        <w:rPr>
          <w:color w:val="000000" w:themeColor="text1"/>
          <w:sz w:val="26"/>
          <w:szCs w:val="26"/>
        </w:rPr>
        <w:tab/>
      </w:r>
      <w:r w:rsidRPr="004B37ED">
        <w:rPr>
          <w:color w:val="000000" w:themeColor="text1"/>
          <w:sz w:val="26"/>
          <w:szCs w:val="26"/>
        </w:rPr>
        <w:tab/>
      </w:r>
      <w:r w:rsidRPr="004B37ED">
        <w:rPr>
          <w:color w:val="000000" w:themeColor="text1"/>
          <w:sz w:val="26"/>
          <w:szCs w:val="26"/>
        </w:rPr>
        <w:tab/>
      </w:r>
      <w:r w:rsidRPr="004B37ED">
        <w:rPr>
          <w:color w:val="000000" w:themeColor="text1"/>
          <w:sz w:val="26"/>
          <w:szCs w:val="26"/>
        </w:rPr>
        <w:tab/>
      </w:r>
      <w:r w:rsidRPr="004B37ED">
        <w:rPr>
          <w:color w:val="000000" w:themeColor="text1"/>
          <w:sz w:val="26"/>
          <w:szCs w:val="26"/>
        </w:rPr>
        <w:tab/>
      </w:r>
      <w:r w:rsidRPr="004B37ED">
        <w:rPr>
          <w:color w:val="000000" w:themeColor="text1"/>
          <w:sz w:val="26"/>
          <w:szCs w:val="26"/>
        </w:rPr>
        <w:tab/>
      </w:r>
      <w:r w:rsidR="00C668FE" w:rsidRPr="004B37ED">
        <w:rPr>
          <w:color w:val="000000" w:themeColor="text1"/>
          <w:sz w:val="26"/>
          <w:szCs w:val="26"/>
        </w:rPr>
        <w:tab/>
      </w:r>
      <w:r w:rsidR="00C668FE" w:rsidRPr="004B37ED">
        <w:rPr>
          <w:color w:val="000000" w:themeColor="text1"/>
          <w:sz w:val="26"/>
          <w:szCs w:val="26"/>
        </w:rPr>
        <w:tab/>
      </w:r>
      <w:r w:rsidRPr="004B37ED">
        <w:rPr>
          <w:color w:val="000000" w:themeColor="text1"/>
          <w:sz w:val="26"/>
          <w:szCs w:val="26"/>
        </w:rPr>
        <w:tab/>
      </w:r>
      <w:r w:rsidRPr="004B37ED">
        <w:rPr>
          <w:color w:val="000000" w:themeColor="text1"/>
          <w:sz w:val="26"/>
          <w:szCs w:val="26"/>
        </w:rPr>
        <w:tab/>
        <w:t xml:space="preserve">     (тис. грн)</w:t>
      </w:r>
      <w:bookmarkStart w:id="29" w:name="2369"/>
      <w:bookmarkEnd w:id="29"/>
    </w:p>
    <w:tbl>
      <w:tblPr>
        <w:tblW w:w="5000" w:type="pct"/>
        <w:tblLook w:val="0000" w:firstRow="0" w:lastRow="0" w:firstColumn="0" w:lastColumn="0" w:noHBand="0" w:noVBand="0"/>
      </w:tblPr>
      <w:tblGrid>
        <w:gridCol w:w="4014"/>
        <w:gridCol w:w="2213"/>
        <w:gridCol w:w="2213"/>
        <w:gridCol w:w="2263"/>
      </w:tblGrid>
      <w:tr w:rsidR="002A0453" w:rsidRPr="00F84CB3" w14:paraId="47162912" w14:textId="77777777" w:rsidTr="00E30543">
        <w:trPr>
          <w:trHeight w:val="45"/>
        </w:trPr>
        <w:tc>
          <w:tcPr>
            <w:tcW w:w="1875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1E561EB" w14:textId="77777777" w:rsidR="002A0453" w:rsidRPr="004B37ED" w:rsidRDefault="002A0453" w:rsidP="002A0453">
            <w:pPr>
              <w:pStyle w:val="b-artintro"/>
              <w:shd w:val="clear" w:color="auto" w:fill="FCFCFC"/>
              <w:spacing w:before="0" w:beforeAutospacing="0" w:after="0" w:afterAutospacing="0"/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Обсяг коштів, які пропонується залучити на виконання Програми</w:t>
            </w:r>
            <w:bookmarkStart w:id="30" w:name="2370"/>
            <w:bookmarkEnd w:id="30"/>
          </w:p>
        </w:tc>
        <w:tc>
          <w:tcPr>
            <w:tcW w:w="2068" w:type="pct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7EA5EA0" w14:textId="77777777" w:rsidR="002A0453" w:rsidRPr="004B37ED" w:rsidRDefault="002A0453" w:rsidP="002A0453">
            <w:pPr>
              <w:pStyle w:val="b-artintro"/>
              <w:shd w:val="clear" w:color="auto" w:fill="FCFCFC"/>
              <w:spacing w:before="0" w:beforeAutospacing="0" w:after="0" w:afterAutospacing="0"/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Роки виконання Програми</w:t>
            </w:r>
            <w:bookmarkStart w:id="31" w:name="2371"/>
            <w:bookmarkEnd w:id="31"/>
          </w:p>
        </w:tc>
        <w:tc>
          <w:tcPr>
            <w:tcW w:w="1057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53CC31E" w14:textId="77777777" w:rsidR="002A0453" w:rsidRPr="004B37ED" w:rsidRDefault="002A0453" w:rsidP="002A0453">
            <w:pPr>
              <w:pStyle w:val="b-artintro"/>
              <w:shd w:val="clear" w:color="auto" w:fill="FCFCFC"/>
              <w:spacing w:before="0" w:beforeAutospacing="0" w:after="0" w:afterAutospacing="0"/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Всього витрат на виконання Програми</w:t>
            </w:r>
            <w:bookmarkStart w:id="32" w:name="2372"/>
            <w:bookmarkEnd w:id="32"/>
          </w:p>
        </w:tc>
      </w:tr>
      <w:tr w:rsidR="002A0453" w:rsidRPr="004B37ED" w14:paraId="3BDDBDF1" w14:textId="77777777" w:rsidTr="00E30543">
        <w:trPr>
          <w:trHeight w:val="45"/>
        </w:trPr>
        <w:tc>
          <w:tcPr>
            <w:tcW w:w="1875" w:type="pct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14:paraId="383262D8" w14:textId="77777777" w:rsidR="002A0453" w:rsidRPr="004B37ED" w:rsidRDefault="002A0453" w:rsidP="002A0453">
            <w:pPr>
              <w:pStyle w:val="b-artintro"/>
              <w:shd w:val="clear" w:color="auto" w:fill="FCFCFC"/>
              <w:spacing w:before="0" w:beforeAutospacing="0" w:after="0" w:afterAutospacing="0"/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006C101" w14:textId="77777777" w:rsidR="002A0453" w:rsidRPr="004B37ED" w:rsidRDefault="002A0453" w:rsidP="002A0453">
            <w:pPr>
              <w:pStyle w:val="b-artintro"/>
              <w:shd w:val="clear" w:color="auto" w:fill="FCFCFC"/>
              <w:spacing w:before="0" w:beforeAutospacing="0" w:after="0" w:afterAutospacing="0"/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2024</w:t>
            </w:r>
            <w:bookmarkStart w:id="33" w:name="2373"/>
            <w:bookmarkEnd w:id="33"/>
          </w:p>
        </w:tc>
        <w:tc>
          <w:tcPr>
            <w:tcW w:w="103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E26F03F" w14:textId="77777777" w:rsidR="002A0453" w:rsidRPr="004B37ED" w:rsidRDefault="002A0453" w:rsidP="002A0453">
            <w:pPr>
              <w:pStyle w:val="b-artintro"/>
              <w:shd w:val="clear" w:color="auto" w:fill="FCFCFC"/>
              <w:spacing w:before="0" w:beforeAutospacing="0" w:after="0" w:afterAutospacing="0"/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2025</w:t>
            </w:r>
            <w:bookmarkStart w:id="34" w:name="2374"/>
            <w:bookmarkEnd w:id="34"/>
          </w:p>
        </w:tc>
        <w:tc>
          <w:tcPr>
            <w:tcW w:w="1057" w:type="pct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14:paraId="56DB7329" w14:textId="77777777" w:rsidR="002A0453" w:rsidRPr="004B37ED" w:rsidRDefault="002A0453" w:rsidP="002A0453">
            <w:pPr>
              <w:pStyle w:val="b-artintro"/>
              <w:shd w:val="clear" w:color="auto" w:fill="FCFCFC"/>
              <w:spacing w:before="0" w:beforeAutospacing="0" w:after="0" w:afterAutospacing="0"/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A0453" w:rsidRPr="004B37ED" w14:paraId="5F1EE5C8" w14:textId="77777777" w:rsidTr="00E30543">
        <w:trPr>
          <w:trHeight w:val="45"/>
        </w:trPr>
        <w:tc>
          <w:tcPr>
            <w:tcW w:w="18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4CC9C6B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Обсяг ресурсів, всього, у тому числі:</w:t>
            </w:r>
            <w:bookmarkStart w:id="35" w:name="2375"/>
            <w:bookmarkEnd w:id="35"/>
          </w:p>
        </w:tc>
        <w:tc>
          <w:tcPr>
            <w:tcW w:w="103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89994DA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12 654 915,74</w:t>
            </w:r>
            <w:bookmarkStart w:id="36" w:name="2376"/>
            <w:bookmarkEnd w:id="36"/>
          </w:p>
        </w:tc>
        <w:tc>
          <w:tcPr>
            <w:tcW w:w="103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6F0632F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14 </w:t>
            </w:r>
            <w:bookmarkStart w:id="37" w:name="2377"/>
            <w:bookmarkEnd w:id="37"/>
            <w:r w:rsidRPr="004B37ED">
              <w:rPr>
                <w:color w:val="000000" w:themeColor="text1"/>
                <w:sz w:val="26"/>
                <w:szCs w:val="26"/>
              </w:rPr>
              <w:t>099 405,63</w:t>
            </w:r>
          </w:p>
        </w:tc>
        <w:tc>
          <w:tcPr>
            <w:tcW w:w="105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F19E2CF" w14:textId="77777777" w:rsidR="002A0453" w:rsidRPr="004B37ED" w:rsidRDefault="002A0453" w:rsidP="00325AA2">
            <w:pPr>
              <w:pStyle w:val="b-artintro"/>
              <w:shd w:val="clear" w:color="auto" w:fill="FCFCF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26 </w:t>
            </w:r>
            <w:bookmarkStart w:id="38" w:name="2378"/>
            <w:bookmarkEnd w:id="38"/>
            <w:r w:rsidRPr="004B37ED">
              <w:rPr>
                <w:color w:val="000000" w:themeColor="text1"/>
                <w:sz w:val="26"/>
                <w:szCs w:val="26"/>
              </w:rPr>
              <w:t>754 321,37</w:t>
            </w:r>
          </w:p>
        </w:tc>
      </w:tr>
      <w:tr w:rsidR="002A0453" w:rsidRPr="004B37ED" w14:paraId="4C0EB04F" w14:textId="77777777" w:rsidTr="00E30543">
        <w:trPr>
          <w:trHeight w:val="45"/>
        </w:trPr>
        <w:tc>
          <w:tcPr>
            <w:tcW w:w="18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F62078B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бюджет міста Києва</w:t>
            </w:r>
            <w:bookmarkStart w:id="39" w:name="2379"/>
            <w:bookmarkEnd w:id="39"/>
          </w:p>
        </w:tc>
        <w:tc>
          <w:tcPr>
            <w:tcW w:w="103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EC829D4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11 048 318,08</w:t>
            </w:r>
            <w:bookmarkStart w:id="40" w:name="2380"/>
            <w:bookmarkEnd w:id="40"/>
          </w:p>
        </w:tc>
        <w:tc>
          <w:tcPr>
            <w:tcW w:w="103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FF964AF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bCs/>
                <w:color w:val="000000" w:themeColor="text1"/>
                <w:sz w:val="26"/>
                <w:szCs w:val="26"/>
              </w:rPr>
              <w:t>12 442 673,67</w:t>
            </w:r>
          </w:p>
        </w:tc>
        <w:tc>
          <w:tcPr>
            <w:tcW w:w="105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D987008" w14:textId="77777777" w:rsidR="002A0453" w:rsidRPr="004B37ED" w:rsidRDefault="002A0453" w:rsidP="00325AA2">
            <w:pPr>
              <w:pStyle w:val="b-artintro"/>
              <w:shd w:val="clear" w:color="auto" w:fill="FCFCF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23 490 991,75</w:t>
            </w:r>
            <w:bookmarkStart w:id="41" w:name="2382"/>
            <w:bookmarkEnd w:id="41"/>
          </w:p>
        </w:tc>
      </w:tr>
      <w:tr w:rsidR="002A0453" w:rsidRPr="004B37ED" w14:paraId="70255319" w14:textId="77777777" w:rsidTr="00E30543">
        <w:trPr>
          <w:trHeight w:val="45"/>
        </w:trPr>
        <w:tc>
          <w:tcPr>
            <w:tcW w:w="1875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A8E9286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кошти інших джерел</w:t>
            </w:r>
            <w:bookmarkStart w:id="42" w:name="2383"/>
            <w:bookmarkEnd w:id="42"/>
          </w:p>
        </w:tc>
        <w:tc>
          <w:tcPr>
            <w:tcW w:w="103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A9817FC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1 606 597,66</w:t>
            </w:r>
            <w:bookmarkStart w:id="43" w:name="2384"/>
            <w:bookmarkEnd w:id="43"/>
          </w:p>
        </w:tc>
        <w:tc>
          <w:tcPr>
            <w:tcW w:w="103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7DD21AC" w14:textId="77777777" w:rsidR="002A0453" w:rsidRPr="004B37ED" w:rsidRDefault="002A0453" w:rsidP="00C668FE">
            <w:pPr>
              <w:pStyle w:val="b-artintro"/>
              <w:shd w:val="clear" w:color="auto" w:fill="FCFCFC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bCs/>
                <w:color w:val="000000" w:themeColor="text1"/>
                <w:sz w:val="26"/>
                <w:szCs w:val="26"/>
              </w:rPr>
              <w:t>1 656 731,96</w:t>
            </w:r>
            <w:bookmarkStart w:id="44" w:name="2385"/>
            <w:bookmarkEnd w:id="44"/>
          </w:p>
        </w:tc>
        <w:tc>
          <w:tcPr>
            <w:tcW w:w="105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9619887" w14:textId="77777777" w:rsidR="002A0453" w:rsidRPr="004B37ED" w:rsidRDefault="002A0453" w:rsidP="00325AA2">
            <w:pPr>
              <w:pStyle w:val="b-artintro"/>
              <w:shd w:val="clear" w:color="auto" w:fill="FCFCFC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4B37ED">
              <w:rPr>
                <w:color w:val="000000" w:themeColor="text1"/>
                <w:sz w:val="26"/>
                <w:szCs w:val="26"/>
              </w:rPr>
              <w:t>3 263 329,62</w:t>
            </w:r>
            <w:bookmarkStart w:id="45" w:name="2386"/>
            <w:bookmarkEnd w:id="45"/>
          </w:p>
        </w:tc>
      </w:tr>
    </w:tbl>
    <w:p w14:paraId="62F1E10A" w14:textId="6B9D7365" w:rsidR="002A0453" w:rsidRDefault="002A0453" w:rsidP="002A0453">
      <w:pPr>
        <w:pStyle w:val="b-artintro"/>
        <w:shd w:val="clear" w:color="auto" w:fill="FCFCFC"/>
        <w:spacing w:before="0" w:beforeAutospacing="0" w:after="0" w:afterAutospacing="0"/>
        <w:ind w:firstLine="567"/>
        <w:jc w:val="right"/>
        <w:rPr>
          <w:color w:val="000000" w:themeColor="text1"/>
          <w:sz w:val="26"/>
          <w:szCs w:val="26"/>
        </w:rPr>
      </w:pPr>
      <w:r w:rsidRPr="004B37ED">
        <w:rPr>
          <w:color w:val="000000" w:themeColor="text1"/>
          <w:sz w:val="26"/>
          <w:szCs w:val="26"/>
        </w:rPr>
        <w:t>»</w:t>
      </w:r>
      <w:r w:rsidR="00642275">
        <w:rPr>
          <w:color w:val="000000" w:themeColor="text1"/>
          <w:sz w:val="26"/>
          <w:szCs w:val="26"/>
        </w:rPr>
        <w:t>.</w:t>
      </w:r>
    </w:p>
    <w:p w14:paraId="1260D79D" w14:textId="77777777" w:rsidR="00F84CB3" w:rsidRDefault="00F84CB3" w:rsidP="002A0453">
      <w:pPr>
        <w:pStyle w:val="b-artintro"/>
        <w:shd w:val="clear" w:color="auto" w:fill="FCFCFC"/>
        <w:spacing w:before="0" w:beforeAutospacing="0" w:after="0" w:afterAutospacing="0"/>
        <w:ind w:firstLine="567"/>
        <w:jc w:val="right"/>
        <w:rPr>
          <w:color w:val="000000" w:themeColor="text1"/>
          <w:sz w:val="26"/>
          <w:szCs w:val="26"/>
        </w:rPr>
      </w:pPr>
    </w:p>
    <w:p w14:paraId="1FDEC649" w14:textId="6A397AAA" w:rsidR="005374C8" w:rsidRPr="00646089" w:rsidRDefault="002A0453" w:rsidP="002A0453">
      <w:pPr>
        <w:pStyle w:val="b-artintro"/>
        <w:shd w:val="clear" w:color="auto" w:fill="FCFCFC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4B37ED">
        <w:rPr>
          <w:color w:val="000000" w:themeColor="text1"/>
          <w:sz w:val="26"/>
          <w:szCs w:val="26"/>
        </w:rPr>
        <w:t>3</w:t>
      </w:r>
      <w:r w:rsidR="009771A7" w:rsidRPr="004B37ED">
        <w:rPr>
          <w:color w:val="000000" w:themeColor="text1"/>
          <w:sz w:val="26"/>
          <w:szCs w:val="26"/>
        </w:rPr>
        <w:t xml:space="preserve">. </w:t>
      </w:r>
      <w:r w:rsidR="005374C8" w:rsidRPr="005374C8">
        <w:rPr>
          <w:color w:val="000000" w:themeColor="text1"/>
          <w:sz w:val="26"/>
          <w:szCs w:val="26"/>
        </w:rPr>
        <w:t>У додатку «Перелік завдань і заходів міської цільової програми «Підтримка та розвиток галузі охорони здоров’я столиці» на 2024 - 2025 роки» до міської цільової програми «Підтримка та розвиток галузі охорони здоров’я столиці» на 2024 - 2025 роки», затвердженого рішенням Київської міської ради від 05 жовтня 2023 року № 7108/7149, Оперативн</w:t>
      </w:r>
      <w:r w:rsidR="00FC28C2">
        <w:rPr>
          <w:color w:val="000000" w:themeColor="text1"/>
          <w:sz w:val="26"/>
          <w:szCs w:val="26"/>
        </w:rPr>
        <w:t>а</w:t>
      </w:r>
      <w:r w:rsidR="005374C8" w:rsidRPr="005374C8">
        <w:rPr>
          <w:color w:val="000000" w:themeColor="text1"/>
          <w:sz w:val="26"/>
          <w:szCs w:val="26"/>
        </w:rPr>
        <w:t xml:space="preserve"> ціль</w:t>
      </w:r>
      <w:r w:rsidR="00787F66" w:rsidRPr="00787F66">
        <w:t xml:space="preserve"> </w:t>
      </w:r>
      <w:r w:rsidR="00787F66" w:rsidRPr="00787F66">
        <w:rPr>
          <w:color w:val="000000" w:themeColor="text1"/>
          <w:sz w:val="26"/>
          <w:szCs w:val="26"/>
        </w:rPr>
        <w:t>Стратегії розвитку міста Києва до 2025 року «I. Забезпечення якісної та доступної медицини в м. Києві», завдання програми</w:t>
      </w:r>
      <w:r w:rsidR="0080688F">
        <w:rPr>
          <w:color w:val="000000" w:themeColor="text1"/>
          <w:sz w:val="26"/>
          <w:szCs w:val="26"/>
        </w:rPr>
        <w:t xml:space="preserve"> </w:t>
      </w:r>
      <w:r w:rsidR="0080688F" w:rsidRPr="001D74E7">
        <w:rPr>
          <w:color w:val="000000" w:themeColor="text1"/>
          <w:sz w:val="26"/>
          <w:szCs w:val="26"/>
        </w:rPr>
        <w:t>«1</w:t>
      </w:r>
      <w:r w:rsidR="0080688F" w:rsidRPr="0080688F">
        <w:rPr>
          <w:color w:val="000000" w:themeColor="text1"/>
          <w:sz w:val="26"/>
          <w:szCs w:val="26"/>
        </w:rPr>
        <w:t xml:space="preserve">. Приведення закладів охорони </w:t>
      </w:r>
      <w:r w:rsidR="0080688F" w:rsidRPr="0080688F">
        <w:rPr>
          <w:color w:val="000000" w:themeColor="text1"/>
          <w:sz w:val="26"/>
          <w:szCs w:val="26"/>
        </w:rPr>
        <w:lastRenderedPageBreak/>
        <w:t>здоров</w:t>
      </w:r>
      <w:r w:rsidR="001D74E7" w:rsidRPr="00646089">
        <w:rPr>
          <w:color w:val="000000" w:themeColor="text1"/>
          <w:sz w:val="26"/>
          <w:szCs w:val="26"/>
          <w:lang w:val="ru-RU"/>
        </w:rPr>
        <w:t>’</w:t>
      </w:r>
      <w:r w:rsidR="0080688F" w:rsidRPr="0080688F">
        <w:rPr>
          <w:color w:val="000000" w:themeColor="text1"/>
          <w:sz w:val="26"/>
          <w:szCs w:val="26"/>
        </w:rPr>
        <w:t>я у відповідність до сучасних потреб</w:t>
      </w:r>
      <w:r w:rsidR="0080688F">
        <w:rPr>
          <w:color w:val="000000" w:themeColor="text1"/>
          <w:sz w:val="26"/>
          <w:szCs w:val="26"/>
        </w:rPr>
        <w:t>»</w:t>
      </w:r>
      <w:r w:rsidR="00646089">
        <w:rPr>
          <w:color w:val="000000" w:themeColor="text1"/>
          <w:sz w:val="26"/>
          <w:szCs w:val="26"/>
        </w:rPr>
        <w:t>, заходи програми 1.1. та 1.2. викласти у такій редакції:</w:t>
      </w:r>
    </w:p>
    <w:p w14:paraId="2F461BF6" w14:textId="4594F0B4" w:rsidR="005374C8" w:rsidRDefault="00525433" w:rsidP="002A0453">
      <w:pPr>
        <w:pStyle w:val="b-artintro"/>
        <w:shd w:val="clear" w:color="auto" w:fill="FCFCFC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576"/>
        <w:gridCol w:w="1609"/>
        <w:gridCol w:w="1195"/>
        <w:gridCol w:w="931"/>
        <w:gridCol w:w="7"/>
        <w:gridCol w:w="1178"/>
        <w:gridCol w:w="7"/>
        <w:gridCol w:w="1608"/>
        <w:gridCol w:w="993"/>
        <w:gridCol w:w="992"/>
      </w:tblGrid>
      <w:tr w:rsidR="0099384C" w:rsidRPr="004B37ED" w14:paraId="341FAC31" w14:textId="77777777" w:rsidTr="00761A1E">
        <w:trPr>
          <w:trHeight w:val="579"/>
        </w:trPr>
        <w:tc>
          <w:tcPr>
            <w:tcW w:w="1502" w:type="dxa"/>
            <w:vMerge w:val="restart"/>
            <w:shd w:val="clear" w:color="auto" w:fill="auto"/>
            <w:vAlign w:val="center"/>
            <w:hideMark/>
          </w:tcPr>
          <w:p w14:paraId="6B96883A" w14:textId="77777777" w:rsidR="00761A1E" w:rsidRPr="004B37ED" w:rsidRDefault="00761A1E" w:rsidP="00FC5F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1.1. Будівництво, реконструкція та реставрація в закладах охорони здоров'я, що засновані на комунальній власності територіальної громади м. Києва, оновлення та забезпечення їх матеріально-технічної бази 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14:paraId="08F503D9" w14:textId="77777777" w:rsidR="00761A1E" w:rsidRPr="004B37ED" w:rsidRDefault="00761A1E" w:rsidP="00FC5F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2024 - 2025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  <w:hideMark/>
          </w:tcPr>
          <w:p w14:paraId="3AA1492A" w14:textId="77777777" w:rsidR="00761A1E" w:rsidRPr="004B37ED" w:rsidRDefault="00761A1E" w:rsidP="00FC5F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Департамент охорони здоров'я, заклади охорони здоров'я, що засновані на комунальній власності територіальної громади м. Києва, РДА, КП "Інженерний центр", комунальне підприємство з питань будівництва житлових будинків "Житлоінвестбуд-УКБ"</w:t>
            </w:r>
          </w:p>
        </w:tc>
        <w:tc>
          <w:tcPr>
            <w:tcW w:w="1195" w:type="dxa"/>
            <w:vMerge w:val="restart"/>
            <w:shd w:val="clear" w:color="auto" w:fill="auto"/>
            <w:vAlign w:val="center"/>
            <w:hideMark/>
          </w:tcPr>
          <w:p w14:paraId="5880A5F9" w14:textId="77777777" w:rsidR="00761A1E" w:rsidRPr="004B37ED" w:rsidRDefault="00761A1E" w:rsidP="00FC5F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Бюджет міста Києва 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5A6C39DE" w14:textId="77777777" w:rsidR="00761A1E" w:rsidRPr="004B37ED" w:rsidRDefault="00761A1E" w:rsidP="00FC5F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Всього 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4F4CF85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1 812 080,39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  <w:hideMark/>
          </w:tcPr>
          <w:p w14:paraId="3EC9DAF0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  <w:t>показник витрат: обсяг видатків, тис. грн.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E0F6D0" w14:textId="77777777" w:rsidR="00761A1E" w:rsidRPr="004B37ED" w:rsidRDefault="00761A1E" w:rsidP="00FC5FC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1278314,52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696A4C" w14:textId="77777777" w:rsidR="00761A1E" w:rsidRPr="004B37ED" w:rsidRDefault="00761A1E" w:rsidP="00FC5FC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533765,87 </w:t>
            </w:r>
          </w:p>
        </w:tc>
      </w:tr>
      <w:tr w:rsidR="0099384C" w:rsidRPr="004B37ED" w14:paraId="671E9F6D" w14:textId="77777777" w:rsidTr="00761A1E">
        <w:trPr>
          <w:trHeight w:val="1057"/>
        </w:trPr>
        <w:tc>
          <w:tcPr>
            <w:tcW w:w="1502" w:type="dxa"/>
            <w:vMerge/>
            <w:vAlign w:val="center"/>
            <w:hideMark/>
          </w:tcPr>
          <w:p w14:paraId="3E1DB1B0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14:paraId="14367745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1609" w:type="dxa"/>
            <w:vMerge/>
            <w:vAlign w:val="center"/>
            <w:hideMark/>
          </w:tcPr>
          <w:p w14:paraId="088A4CBD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1195" w:type="dxa"/>
            <w:vMerge/>
            <w:vAlign w:val="center"/>
            <w:hideMark/>
          </w:tcPr>
          <w:p w14:paraId="3CAEAAC1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13D97B84" w14:textId="77777777" w:rsidR="00761A1E" w:rsidRPr="004B37ED" w:rsidRDefault="00761A1E" w:rsidP="00FC5FC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 xml:space="preserve"> 2 024 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96442C9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1 278 314,52 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  <w:hideMark/>
          </w:tcPr>
          <w:p w14:paraId="3662C59A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  <w:t xml:space="preserve"> показник продукту: кількість об'єктів будівництва, реконструкції та реставрації, одиниць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64381B6" w14:textId="77777777" w:rsidR="00761A1E" w:rsidRPr="004B37ED" w:rsidRDefault="00761A1E" w:rsidP="00FC5FC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27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D3D1A5" w14:textId="77777777" w:rsidR="00761A1E" w:rsidRPr="004B37ED" w:rsidRDefault="00761A1E" w:rsidP="00FC5FC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10 </w:t>
            </w:r>
          </w:p>
        </w:tc>
      </w:tr>
      <w:tr w:rsidR="0099384C" w:rsidRPr="004B37ED" w14:paraId="6FA84271" w14:textId="77777777" w:rsidTr="00761A1E">
        <w:trPr>
          <w:trHeight w:val="785"/>
        </w:trPr>
        <w:tc>
          <w:tcPr>
            <w:tcW w:w="1502" w:type="dxa"/>
            <w:vMerge/>
            <w:vAlign w:val="center"/>
            <w:hideMark/>
          </w:tcPr>
          <w:p w14:paraId="1CD6F570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14:paraId="7D927F2F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1609" w:type="dxa"/>
            <w:vMerge/>
            <w:vAlign w:val="center"/>
            <w:hideMark/>
          </w:tcPr>
          <w:p w14:paraId="7826226F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1195" w:type="dxa"/>
            <w:vMerge/>
            <w:vAlign w:val="center"/>
            <w:hideMark/>
          </w:tcPr>
          <w:p w14:paraId="6A03FFF9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367FD2D7" w14:textId="77777777" w:rsidR="00761A1E" w:rsidRPr="004B37ED" w:rsidRDefault="00761A1E" w:rsidP="00FC5FC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 xml:space="preserve">2 025 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0C864B6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533 765,87 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  <w:hideMark/>
          </w:tcPr>
          <w:p w14:paraId="02CC7575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  <w:t xml:space="preserve"> показник ефективності: середні витрати на один об'єкт, тис. грн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C2CD16" w14:textId="77777777" w:rsidR="00761A1E" w:rsidRPr="004B37ED" w:rsidRDefault="00761A1E" w:rsidP="00FC5FC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47 344,98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42BF0D" w14:textId="77777777" w:rsidR="00761A1E" w:rsidRPr="004B37ED" w:rsidRDefault="00761A1E" w:rsidP="00FC5FC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53376,59 </w:t>
            </w:r>
          </w:p>
        </w:tc>
      </w:tr>
      <w:tr w:rsidR="0099384C" w:rsidRPr="004B37ED" w14:paraId="45D63652" w14:textId="77777777" w:rsidTr="00281EBF">
        <w:trPr>
          <w:trHeight w:val="661"/>
        </w:trPr>
        <w:tc>
          <w:tcPr>
            <w:tcW w:w="150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09D865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5BF718A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160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C735C41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0A6E808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203A25" w14:textId="77777777" w:rsidR="00761A1E" w:rsidRPr="004B37ED" w:rsidRDefault="00761A1E" w:rsidP="00FC5FC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6382F8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6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A442BB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  <w:t>показник якості: рівень освоєння коштів, 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A0C337" w14:textId="77777777" w:rsidR="00761A1E" w:rsidRPr="004B37ED" w:rsidRDefault="00761A1E" w:rsidP="00FC5FC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100%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6E1988" w14:textId="77777777" w:rsidR="00761A1E" w:rsidRPr="004B37ED" w:rsidRDefault="00761A1E" w:rsidP="00FC5FC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100%</w:t>
            </w:r>
          </w:p>
        </w:tc>
      </w:tr>
      <w:tr w:rsidR="0099384C" w:rsidRPr="004B37ED" w14:paraId="50B0B52A" w14:textId="77777777" w:rsidTr="002B690F">
        <w:trPr>
          <w:trHeight w:val="532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BF4E" w14:textId="77777777" w:rsidR="00761A1E" w:rsidRPr="004B37ED" w:rsidRDefault="00761A1E" w:rsidP="00FC5F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1.2. Проведення капітальних ремонтів в закладах охорони здоров</w:t>
            </w:r>
            <w:r w:rsidR="00AC0335"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’</w:t>
            </w: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я, що засновані на комунальній власності територіальної громади м. Києва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F32B" w14:textId="77777777" w:rsidR="00761A1E" w:rsidRPr="004B37ED" w:rsidRDefault="00761A1E" w:rsidP="00FC5F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2024 </w:t>
            </w:r>
            <w:r w:rsidR="00AC0335"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–</w:t>
            </w: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2025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9EAC" w14:textId="77777777" w:rsidR="00761A1E" w:rsidRPr="004B37ED" w:rsidRDefault="00761A1E" w:rsidP="00FC5F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Департамент охорони здоров</w:t>
            </w:r>
            <w:r w:rsidR="00AC0335"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’</w:t>
            </w: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я,заклади охорони здоров</w:t>
            </w:r>
            <w:r w:rsidR="00AC0335"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’</w:t>
            </w: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я, що засновані на комунальній власності територіальної громади м. Києва, КП </w:t>
            </w:r>
            <w:r w:rsidR="00AC0335"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«</w:t>
            </w: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Інженерний центр</w:t>
            </w:r>
            <w:r w:rsidR="00AC0335"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»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159B" w14:textId="77777777" w:rsidR="00761A1E" w:rsidRPr="004B37ED" w:rsidRDefault="00761A1E" w:rsidP="00FC5FC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Всього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D572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5 442 422,33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2CE4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  <w:t>показник витрат: обсяг видатків, тис. грн.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DC55" w14:textId="77777777" w:rsidR="00761A1E" w:rsidRPr="004B37ED" w:rsidRDefault="00761A1E" w:rsidP="00FC5FC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2379963,54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5084" w14:textId="77777777" w:rsidR="00761A1E" w:rsidRPr="004B37ED" w:rsidRDefault="00761A1E" w:rsidP="00FC5FC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3062458,79</w:t>
            </w:r>
          </w:p>
        </w:tc>
      </w:tr>
      <w:tr w:rsidR="0099384C" w:rsidRPr="004B37ED" w14:paraId="7BCD3E9E" w14:textId="77777777" w:rsidTr="002B690F">
        <w:trPr>
          <w:trHeight w:val="1549"/>
        </w:trPr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F01A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DD87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53D8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4A1A" w14:textId="77777777" w:rsidR="00761A1E" w:rsidRPr="004B37ED" w:rsidRDefault="00761A1E" w:rsidP="00FC5FC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2024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AFF9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2 379 963,54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A5D8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  <w:t>показник продукту: кількість закладів охорони здоров</w:t>
            </w:r>
            <w:r w:rsidR="00AC0335" w:rsidRPr="004B37E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  <w:t>’</w:t>
            </w: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  <w:t>я, що засновані на комунальній власності територіальної громади м. Києва, у яких проведено капітальні ремонти, одиниць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26C4" w14:textId="77777777" w:rsidR="00761A1E" w:rsidRPr="004B37ED" w:rsidRDefault="00761A1E" w:rsidP="00FC5FC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76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D1C4" w14:textId="77777777" w:rsidR="00761A1E" w:rsidRPr="004B37ED" w:rsidRDefault="00761A1E" w:rsidP="00FC5FC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62 </w:t>
            </w:r>
          </w:p>
        </w:tc>
      </w:tr>
      <w:tr w:rsidR="0099384C" w:rsidRPr="004B37ED" w14:paraId="62A9BE71" w14:textId="77777777" w:rsidTr="00281EBF">
        <w:trPr>
          <w:trHeight w:val="1578"/>
        </w:trPr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1B54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1698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9E16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5CD" w14:textId="77777777" w:rsidR="00761A1E" w:rsidRPr="004B37ED" w:rsidRDefault="00761A1E" w:rsidP="00FC5FC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2025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2213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3 062 458,79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FC41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  <w:t>показник ефективності: середні витрати на один заклад охорони здоров</w:t>
            </w:r>
            <w:r w:rsidR="00AC0335" w:rsidRPr="004B37E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  <w:t>’</w:t>
            </w: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  <w:t>я, що заснований на комунальній власності територіальної громади м. Києва, тис. грн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4327" w14:textId="77777777" w:rsidR="00761A1E" w:rsidRPr="004B37ED" w:rsidRDefault="00761A1E" w:rsidP="00761A1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31 315,31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D441" w14:textId="77777777" w:rsidR="00761A1E" w:rsidRPr="004B37ED" w:rsidRDefault="00761A1E" w:rsidP="00761A1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49394,50 </w:t>
            </w:r>
          </w:p>
        </w:tc>
      </w:tr>
      <w:tr w:rsidR="0099384C" w:rsidRPr="004B37ED" w14:paraId="546CF055" w14:textId="77777777" w:rsidTr="00281EBF">
        <w:trPr>
          <w:trHeight w:val="376"/>
        </w:trPr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E692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29A1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0757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6635" w14:textId="77777777" w:rsidR="00761A1E" w:rsidRPr="004B37ED" w:rsidRDefault="00761A1E" w:rsidP="00FC5F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Бюджет міста Києва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AB4F" w14:textId="77777777" w:rsidR="00761A1E" w:rsidRPr="004B37ED" w:rsidRDefault="00761A1E" w:rsidP="00FC5FC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Всього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EE68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4 392 167,11 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FD98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  <w:t>показник якості: частка закладів охорони здоров</w:t>
            </w:r>
            <w:r w:rsidR="00AC0335" w:rsidRPr="004B37E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  <w:t>’</w:t>
            </w: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  <w:t>я, що засновані на комунальній власності територіальної громади м. Києва, у яких проведено капітальні ремонти, в поточному році у загальній кількості закладів, %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AD0D" w14:textId="77777777" w:rsidR="00761A1E" w:rsidRPr="004B37ED" w:rsidRDefault="00761A1E" w:rsidP="00FC5FC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72%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96DF" w14:textId="77777777" w:rsidR="00761A1E" w:rsidRPr="004B37ED" w:rsidRDefault="00761A1E" w:rsidP="00FC5FC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71%</w:t>
            </w:r>
          </w:p>
        </w:tc>
      </w:tr>
      <w:tr w:rsidR="0099384C" w:rsidRPr="004B37ED" w14:paraId="2307A797" w14:textId="77777777" w:rsidTr="00281EBF">
        <w:trPr>
          <w:trHeight w:val="318"/>
        </w:trPr>
        <w:tc>
          <w:tcPr>
            <w:tcW w:w="1502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724CC883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06B54F6A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74B458DE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45C221CD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39797B4" w14:textId="77777777" w:rsidR="00761A1E" w:rsidRPr="004B37ED" w:rsidRDefault="00761A1E" w:rsidP="00FC5FC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2024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9A3B340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1 781 316,62 </w:t>
            </w: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14:paraId="08207672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606C9EDF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4217B857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</w:tr>
      <w:tr w:rsidR="0099384C" w:rsidRPr="004B37ED" w14:paraId="0AC04308" w14:textId="77777777" w:rsidTr="00761A1E">
        <w:trPr>
          <w:trHeight w:val="419"/>
        </w:trPr>
        <w:tc>
          <w:tcPr>
            <w:tcW w:w="1502" w:type="dxa"/>
            <w:vMerge/>
            <w:vAlign w:val="center"/>
            <w:hideMark/>
          </w:tcPr>
          <w:p w14:paraId="77B5185B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14:paraId="7974465A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1609" w:type="dxa"/>
            <w:vMerge/>
            <w:vAlign w:val="center"/>
            <w:hideMark/>
          </w:tcPr>
          <w:p w14:paraId="7CBBEF17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1195" w:type="dxa"/>
            <w:vMerge/>
            <w:vAlign w:val="center"/>
            <w:hideMark/>
          </w:tcPr>
          <w:p w14:paraId="50D0440F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60CFD348" w14:textId="77777777" w:rsidR="00761A1E" w:rsidRPr="004B37ED" w:rsidRDefault="00761A1E" w:rsidP="00FC5FC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2025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FE95736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2 610 850,49 </w:t>
            </w:r>
          </w:p>
        </w:tc>
        <w:tc>
          <w:tcPr>
            <w:tcW w:w="1615" w:type="dxa"/>
            <w:gridSpan w:val="2"/>
            <w:vMerge/>
            <w:vAlign w:val="center"/>
            <w:hideMark/>
          </w:tcPr>
          <w:p w14:paraId="55C3753A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6751E44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616FBA2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</w:tr>
      <w:tr w:rsidR="0099384C" w:rsidRPr="004B37ED" w14:paraId="485B3B66" w14:textId="77777777" w:rsidTr="00761A1E">
        <w:trPr>
          <w:trHeight w:val="434"/>
        </w:trPr>
        <w:tc>
          <w:tcPr>
            <w:tcW w:w="1502" w:type="dxa"/>
            <w:vMerge/>
            <w:vAlign w:val="center"/>
            <w:hideMark/>
          </w:tcPr>
          <w:p w14:paraId="0CD840D5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14:paraId="5F3BE453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1609" w:type="dxa"/>
            <w:vMerge/>
            <w:vAlign w:val="center"/>
            <w:hideMark/>
          </w:tcPr>
          <w:p w14:paraId="17B31FCB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1195" w:type="dxa"/>
            <w:vMerge w:val="restart"/>
            <w:shd w:val="clear" w:color="auto" w:fill="auto"/>
            <w:vAlign w:val="center"/>
            <w:hideMark/>
          </w:tcPr>
          <w:p w14:paraId="4DD767D7" w14:textId="77777777" w:rsidR="00761A1E" w:rsidRPr="004B37ED" w:rsidRDefault="00761A1E" w:rsidP="00FC5F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Інші джерела 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5BB78CAE" w14:textId="77777777" w:rsidR="00761A1E" w:rsidRPr="004B37ED" w:rsidRDefault="00761A1E" w:rsidP="00FC5FC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Всього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B9CC66E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1 050 255,22 </w:t>
            </w:r>
          </w:p>
        </w:tc>
        <w:tc>
          <w:tcPr>
            <w:tcW w:w="1615" w:type="dxa"/>
            <w:gridSpan w:val="2"/>
            <w:vMerge/>
            <w:vAlign w:val="center"/>
            <w:hideMark/>
          </w:tcPr>
          <w:p w14:paraId="38752DEC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26F86E9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B9759C3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</w:tr>
      <w:tr w:rsidR="0099384C" w:rsidRPr="004B37ED" w14:paraId="1B9E7D9C" w14:textId="77777777" w:rsidTr="00761A1E">
        <w:trPr>
          <w:trHeight w:val="434"/>
        </w:trPr>
        <w:tc>
          <w:tcPr>
            <w:tcW w:w="1502" w:type="dxa"/>
            <w:vMerge/>
            <w:vAlign w:val="center"/>
            <w:hideMark/>
          </w:tcPr>
          <w:p w14:paraId="6F02934E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14:paraId="50DA1165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1609" w:type="dxa"/>
            <w:vMerge/>
            <w:vAlign w:val="center"/>
            <w:hideMark/>
          </w:tcPr>
          <w:p w14:paraId="58DA257C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1195" w:type="dxa"/>
            <w:vMerge/>
            <w:vAlign w:val="center"/>
            <w:hideMark/>
          </w:tcPr>
          <w:p w14:paraId="43DCDF10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0B663A90" w14:textId="77777777" w:rsidR="00761A1E" w:rsidRPr="004B37ED" w:rsidRDefault="00761A1E" w:rsidP="00FC5FC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2024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BE1604E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598 646,92 </w:t>
            </w:r>
          </w:p>
        </w:tc>
        <w:tc>
          <w:tcPr>
            <w:tcW w:w="1615" w:type="dxa"/>
            <w:gridSpan w:val="2"/>
            <w:vMerge/>
            <w:vAlign w:val="center"/>
            <w:hideMark/>
          </w:tcPr>
          <w:p w14:paraId="403880CE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2B22B0A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829EE0F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</w:tr>
      <w:tr w:rsidR="0099384C" w:rsidRPr="004B37ED" w14:paraId="094940BE" w14:textId="77777777" w:rsidTr="002B690F">
        <w:trPr>
          <w:trHeight w:val="434"/>
        </w:trPr>
        <w:tc>
          <w:tcPr>
            <w:tcW w:w="150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A457A14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66911C7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160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7DBE831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A678507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674697" w14:textId="77777777" w:rsidR="00761A1E" w:rsidRPr="004B37ED" w:rsidRDefault="00761A1E" w:rsidP="00FC5FC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2025</w:t>
            </w: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0C0206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4B3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451 608,30 </w:t>
            </w:r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58B65A9F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6BF79AC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AABBB9C" w14:textId="77777777" w:rsidR="00761A1E" w:rsidRPr="004B37ED" w:rsidRDefault="00761A1E" w:rsidP="00FC5F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</w:tr>
    </w:tbl>
    <w:p w14:paraId="5A45702B" w14:textId="30A7BC35" w:rsidR="00EE69CC" w:rsidRDefault="00761A1E" w:rsidP="00AC0335">
      <w:pPr>
        <w:ind w:right="-3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4B37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»</w:t>
      </w:r>
      <w:r w:rsidR="00EE0C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14:paraId="2DEC0CE7" w14:textId="77777777" w:rsidR="001578AC" w:rsidRPr="004B37ED" w:rsidRDefault="001578AC" w:rsidP="00AC0335">
      <w:pPr>
        <w:ind w:right="-3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1AF6A834" w14:textId="078008AF" w:rsidR="00005B22" w:rsidRDefault="00325AA2" w:rsidP="00005B22">
      <w:pPr>
        <w:pStyle w:val="b-artintro"/>
        <w:shd w:val="clear" w:color="auto" w:fill="FCFCFC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4B37ED">
        <w:rPr>
          <w:color w:val="000000" w:themeColor="text1"/>
          <w:sz w:val="26"/>
          <w:szCs w:val="26"/>
        </w:rPr>
        <w:t>4</w:t>
      </w:r>
      <w:r w:rsidR="00773257" w:rsidRPr="004B37ED">
        <w:rPr>
          <w:color w:val="000000" w:themeColor="text1"/>
          <w:sz w:val="26"/>
          <w:szCs w:val="26"/>
        </w:rPr>
        <w:t xml:space="preserve">. </w:t>
      </w:r>
      <w:r w:rsidR="001B0D92">
        <w:rPr>
          <w:color w:val="000000" w:themeColor="text1"/>
          <w:sz w:val="26"/>
          <w:szCs w:val="26"/>
        </w:rPr>
        <w:t>У додатку</w:t>
      </w:r>
      <w:r w:rsidR="00AB777B">
        <w:rPr>
          <w:color w:val="000000" w:themeColor="text1"/>
          <w:sz w:val="26"/>
          <w:szCs w:val="26"/>
        </w:rPr>
        <w:t xml:space="preserve"> </w:t>
      </w:r>
      <w:r w:rsidR="00512A0B" w:rsidRPr="00512A0B">
        <w:rPr>
          <w:color w:val="000000" w:themeColor="text1"/>
          <w:sz w:val="26"/>
          <w:szCs w:val="26"/>
        </w:rPr>
        <w:t>«Перелік завдань і заходів міської цільової програми «Підтримка та розвиток галузі охорони здоров</w:t>
      </w:r>
      <w:r w:rsidR="00056CAF" w:rsidRPr="00056CAF">
        <w:rPr>
          <w:color w:val="000000" w:themeColor="text1"/>
          <w:sz w:val="26"/>
          <w:szCs w:val="26"/>
        </w:rPr>
        <w:t>’</w:t>
      </w:r>
      <w:r w:rsidR="00512A0B" w:rsidRPr="00512A0B">
        <w:rPr>
          <w:color w:val="000000" w:themeColor="text1"/>
          <w:sz w:val="26"/>
          <w:szCs w:val="26"/>
        </w:rPr>
        <w:t xml:space="preserve">я столиці» на 2024 - 2025 роки» </w:t>
      </w:r>
      <w:r w:rsidR="00AB777B">
        <w:rPr>
          <w:color w:val="000000" w:themeColor="text1"/>
          <w:sz w:val="26"/>
          <w:szCs w:val="26"/>
        </w:rPr>
        <w:t xml:space="preserve">до </w:t>
      </w:r>
      <w:r w:rsidR="00AB777B" w:rsidRPr="00AB777B">
        <w:rPr>
          <w:color w:val="000000" w:themeColor="text1"/>
          <w:sz w:val="26"/>
          <w:szCs w:val="26"/>
        </w:rPr>
        <w:t>міської цільової програми «Підтримка та розвиток галузі охорони здоров’я столиці» на 2024 - 2025 роки»</w:t>
      </w:r>
      <w:r w:rsidR="00AB777B">
        <w:rPr>
          <w:color w:val="000000" w:themeColor="text1"/>
          <w:sz w:val="26"/>
          <w:szCs w:val="26"/>
        </w:rPr>
        <w:t>,</w:t>
      </w:r>
      <w:r w:rsidR="00AB777B" w:rsidRPr="00AB777B">
        <w:t xml:space="preserve"> </w:t>
      </w:r>
      <w:r w:rsidR="00AB777B" w:rsidRPr="00AB777B">
        <w:rPr>
          <w:color w:val="000000" w:themeColor="text1"/>
          <w:sz w:val="26"/>
          <w:szCs w:val="26"/>
        </w:rPr>
        <w:t>затверджено</w:t>
      </w:r>
      <w:r w:rsidR="00AB777B">
        <w:rPr>
          <w:color w:val="000000" w:themeColor="text1"/>
          <w:sz w:val="26"/>
          <w:szCs w:val="26"/>
        </w:rPr>
        <w:t>го</w:t>
      </w:r>
      <w:r w:rsidR="00AB777B" w:rsidRPr="00AB777B">
        <w:rPr>
          <w:color w:val="000000" w:themeColor="text1"/>
          <w:sz w:val="26"/>
          <w:szCs w:val="26"/>
        </w:rPr>
        <w:t xml:space="preserve"> рішенням Київської міської ради від 05 жовтня 2023 року № 7108/7149,</w:t>
      </w:r>
      <w:r w:rsidR="002C0033">
        <w:rPr>
          <w:color w:val="000000" w:themeColor="text1"/>
          <w:sz w:val="26"/>
          <w:szCs w:val="26"/>
        </w:rPr>
        <w:t xml:space="preserve"> </w:t>
      </w:r>
      <w:r w:rsidR="00005B22">
        <w:rPr>
          <w:color w:val="000000" w:themeColor="text1"/>
          <w:sz w:val="26"/>
          <w:szCs w:val="26"/>
        </w:rPr>
        <w:t>Оперативн</w:t>
      </w:r>
      <w:r w:rsidR="002067A6">
        <w:rPr>
          <w:color w:val="000000" w:themeColor="text1"/>
          <w:sz w:val="26"/>
          <w:szCs w:val="26"/>
        </w:rPr>
        <w:t>а</w:t>
      </w:r>
      <w:r w:rsidR="00005B22">
        <w:rPr>
          <w:color w:val="000000" w:themeColor="text1"/>
          <w:sz w:val="26"/>
          <w:szCs w:val="26"/>
        </w:rPr>
        <w:t xml:space="preserve"> ціл</w:t>
      </w:r>
      <w:r w:rsidR="00A17CBA">
        <w:rPr>
          <w:color w:val="000000" w:themeColor="text1"/>
          <w:sz w:val="26"/>
          <w:szCs w:val="26"/>
        </w:rPr>
        <w:t>ь</w:t>
      </w:r>
      <w:r w:rsidR="0080688F" w:rsidRPr="0080688F">
        <w:t xml:space="preserve"> </w:t>
      </w:r>
      <w:r w:rsidR="0080688F" w:rsidRPr="0080688F">
        <w:rPr>
          <w:color w:val="000000" w:themeColor="text1"/>
          <w:sz w:val="26"/>
          <w:szCs w:val="26"/>
        </w:rPr>
        <w:t>Стратегії розвитку міста Києва до 2025 року</w:t>
      </w:r>
      <w:r w:rsidR="00005B22">
        <w:rPr>
          <w:color w:val="000000" w:themeColor="text1"/>
          <w:sz w:val="26"/>
          <w:szCs w:val="26"/>
        </w:rPr>
        <w:t xml:space="preserve"> </w:t>
      </w:r>
      <w:r w:rsidR="00005B22" w:rsidRPr="00E608A9">
        <w:rPr>
          <w:color w:val="000000" w:themeColor="text1"/>
          <w:sz w:val="26"/>
          <w:szCs w:val="26"/>
        </w:rPr>
        <w:t>«ІІ. Підвищення ефективності системи управління у галузі охорони здоров’я»</w:t>
      </w:r>
      <w:r w:rsidR="00005B22">
        <w:rPr>
          <w:color w:val="000000" w:themeColor="text1"/>
          <w:sz w:val="26"/>
          <w:szCs w:val="26"/>
        </w:rPr>
        <w:t xml:space="preserve">, </w:t>
      </w:r>
      <w:r w:rsidR="003958E7" w:rsidRPr="00E608A9">
        <w:rPr>
          <w:color w:val="000000" w:themeColor="text1"/>
          <w:sz w:val="26"/>
          <w:szCs w:val="26"/>
        </w:rPr>
        <w:t>завданн</w:t>
      </w:r>
      <w:r w:rsidR="002067A6">
        <w:rPr>
          <w:color w:val="000000" w:themeColor="text1"/>
          <w:sz w:val="26"/>
          <w:szCs w:val="26"/>
        </w:rPr>
        <w:t>я</w:t>
      </w:r>
      <w:r w:rsidR="003958E7" w:rsidRPr="00E608A9">
        <w:rPr>
          <w:color w:val="000000" w:themeColor="text1"/>
          <w:sz w:val="26"/>
          <w:szCs w:val="26"/>
        </w:rPr>
        <w:t xml:space="preserve"> програми «</w:t>
      </w:r>
      <w:r w:rsidR="00005B22">
        <w:rPr>
          <w:color w:val="000000" w:themeColor="text1"/>
          <w:sz w:val="26"/>
          <w:szCs w:val="26"/>
        </w:rPr>
        <w:t xml:space="preserve">6. </w:t>
      </w:r>
      <w:r w:rsidR="003958E7" w:rsidRPr="00E608A9">
        <w:rPr>
          <w:color w:val="000000" w:themeColor="text1"/>
          <w:sz w:val="26"/>
          <w:szCs w:val="26"/>
        </w:rPr>
        <w:t>Створення належних організаційних умов функціонування єдиного медичного простору»</w:t>
      </w:r>
      <w:r w:rsidR="00005B22">
        <w:rPr>
          <w:color w:val="000000" w:themeColor="text1"/>
          <w:sz w:val="26"/>
          <w:szCs w:val="26"/>
        </w:rPr>
        <w:t xml:space="preserve">, </w:t>
      </w:r>
      <w:r w:rsidR="00056CAF">
        <w:rPr>
          <w:color w:val="000000" w:themeColor="text1"/>
          <w:sz w:val="26"/>
          <w:szCs w:val="26"/>
        </w:rPr>
        <w:t xml:space="preserve">захід </w:t>
      </w:r>
      <w:r w:rsidR="007E613D">
        <w:rPr>
          <w:color w:val="000000" w:themeColor="text1"/>
          <w:sz w:val="26"/>
          <w:szCs w:val="26"/>
        </w:rPr>
        <w:t>програми 6.2.</w:t>
      </w:r>
      <w:r w:rsidR="00005B22">
        <w:rPr>
          <w:color w:val="000000" w:themeColor="text1"/>
          <w:sz w:val="26"/>
          <w:szCs w:val="26"/>
        </w:rPr>
        <w:t xml:space="preserve"> викласти </w:t>
      </w:r>
      <w:r w:rsidR="00135826">
        <w:rPr>
          <w:color w:val="000000" w:themeColor="text1"/>
          <w:sz w:val="26"/>
          <w:szCs w:val="26"/>
        </w:rPr>
        <w:t>у</w:t>
      </w:r>
      <w:r w:rsidR="00005B22">
        <w:rPr>
          <w:color w:val="000000" w:themeColor="text1"/>
          <w:sz w:val="26"/>
          <w:szCs w:val="26"/>
        </w:rPr>
        <w:t xml:space="preserve"> такій редакції:</w:t>
      </w:r>
    </w:p>
    <w:p w14:paraId="61027278" w14:textId="77777777" w:rsidR="002B24DB" w:rsidRPr="004B37ED" w:rsidRDefault="002B24DB" w:rsidP="002B24DB">
      <w:pPr>
        <w:ind w:left="-57" w:right="-57" w:firstLine="62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4B37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«</w:t>
      </w:r>
    </w:p>
    <w:tbl>
      <w:tblPr>
        <w:tblStyle w:val="a7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850"/>
        <w:gridCol w:w="851"/>
        <w:gridCol w:w="850"/>
        <w:gridCol w:w="1423"/>
        <w:gridCol w:w="2126"/>
        <w:gridCol w:w="1276"/>
        <w:gridCol w:w="1276"/>
      </w:tblGrid>
      <w:tr w:rsidR="002B24DB" w:rsidRPr="004B37ED" w14:paraId="69838352" w14:textId="77777777" w:rsidTr="00347B21">
        <w:trPr>
          <w:trHeight w:val="705"/>
        </w:trPr>
        <w:tc>
          <w:tcPr>
            <w:tcW w:w="1413" w:type="dxa"/>
            <w:vMerge w:val="restart"/>
            <w:hideMark/>
          </w:tcPr>
          <w:p w14:paraId="35EE54A3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6.2. </w:t>
            </w:r>
            <w:r w:rsidR="00E128E6"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Щомісячна безповоротна </w:t>
            </w:r>
            <w:r w:rsidR="00E128E6"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фінансова допомога на період воєнного стану медичним  працівникам (включаючи молодший медичний персонал) закладів охорони здоров'я, які надають медичну допомогу (екстрену, спеціалізовану, паліативну)  та/або реабілітаційну допомогу у сфері охорони здоров’я та молодшому медичному персоналу закладів охорони здоров'я, які надають первинну медичну допомогу</w:t>
            </w:r>
          </w:p>
        </w:tc>
        <w:tc>
          <w:tcPr>
            <w:tcW w:w="709" w:type="dxa"/>
            <w:vMerge w:val="restart"/>
            <w:hideMark/>
          </w:tcPr>
          <w:p w14:paraId="1331D266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2024 - 2025</w:t>
            </w:r>
          </w:p>
        </w:tc>
        <w:tc>
          <w:tcPr>
            <w:tcW w:w="850" w:type="dxa"/>
            <w:vMerge w:val="restart"/>
            <w:hideMark/>
          </w:tcPr>
          <w:p w14:paraId="79615D15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охорон</w:t>
            </w: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и здоров'я, заклади охорони здоров'я, що засновані на комунальній власності територіальної громади м. Києва</w:t>
            </w:r>
          </w:p>
        </w:tc>
        <w:tc>
          <w:tcPr>
            <w:tcW w:w="851" w:type="dxa"/>
            <w:vMerge w:val="restart"/>
            <w:hideMark/>
          </w:tcPr>
          <w:p w14:paraId="273CDA27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Бюджет міста Києва</w:t>
            </w:r>
          </w:p>
        </w:tc>
        <w:tc>
          <w:tcPr>
            <w:tcW w:w="850" w:type="dxa"/>
            <w:hideMark/>
          </w:tcPr>
          <w:p w14:paraId="6489D6D1" w14:textId="77777777" w:rsidR="002B24DB" w:rsidRPr="004B37ED" w:rsidRDefault="002B24DB" w:rsidP="00CA39A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423" w:type="dxa"/>
            <w:hideMark/>
          </w:tcPr>
          <w:p w14:paraId="1703092A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2 596 346,24 </w:t>
            </w:r>
          </w:p>
        </w:tc>
        <w:tc>
          <w:tcPr>
            <w:tcW w:w="2126" w:type="dxa"/>
            <w:hideMark/>
          </w:tcPr>
          <w:p w14:paraId="6A833FAF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показник витрат: обсяг видатків, тис .грн.</w:t>
            </w:r>
          </w:p>
        </w:tc>
        <w:tc>
          <w:tcPr>
            <w:tcW w:w="1276" w:type="dxa"/>
            <w:hideMark/>
          </w:tcPr>
          <w:p w14:paraId="482F1BF4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1298 173,12 </w:t>
            </w:r>
          </w:p>
        </w:tc>
        <w:tc>
          <w:tcPr>
            <w:tcW w:w="1276" w:type="dxa"/>
            <w:hideMark/>
          </w:tcPr>
          <w:p w14:paraId="52503163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1298 173,12 </w:t>
            </w:r>
          </w:p>
        </w:tc>
      </w:tr>
      <w:tr w:rsidR="002B24DB" w:rsidRPr="004B37ED" w14:paraId="21D2049B" w14:textId="77777777" w:rsidTr="00347B21">
        <w:trPr>
          <w:trHeight w:val="3870"/>
        </w:trPr>
        <w:tc>
          <w:tcPr>
            <w:tcW w:w="1413" w:type="dxa"/>
            <w:vMerge/>
            <w:hideMark/>
          </w:tcPr>
          <w:p w14:paraId="7551D141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14:paraId="5ED59D1A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hideMark/>
          </w:tcPr>
          <w:p w14:paraId="43F8DD44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hideMark/>
          </w:tcPr>
          <w:p w14:paraId="3D4D45FB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hideMark/>
          </w:tcPr>
          <w:p w14:paraId="58828493" w14:textId="77777777" w:rsidR="002B24DB" w:rsidRPr="004B37ED" w:rsidRDefault="002B24DB" w:rsidP="00CA39A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1423" w:type="dxa"/>
            <w:hideMark/>
          </w:tcPr>
          <w:p w14:paraId="2224E5CD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1 298 173,12 </w:t>
            </w:r>
          </w:p>
        </w:tc>
        <w:tc>
          <w:tcPr>
            <w:tcW w:w="2126" w:type="dxa"/>
            <w:hideMark/>
          </w:tcPr>
          <w:p w14:paraId="7C90C09C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показник продукту*: кількість лікарів (крім лікарів-інтернів, лікарів фізичної та реабілітаційної медицини що надають реабілітаційну допомогу у стаціонарних умовах), професіоналів з вищою немедичною освітою, професіоналів у галузі охорони здоров'я у закладах охорони здоров'я (крім фізичних терапевтів, ерготерапевтів, що надають реабілітаційну допомогу у стаціонарних умовах), осіб</w:t>
            </w:r>
          </w:p>
        </w:tc>
        <w:tc>
          <w:tcPr>
            <w:tcW w:w="1276" w:type="dxa"/>
            <w:hideMark/>
          </w:tcPr>
          <w:p w14:paraId="583A2A64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6 832 </w:t>
            </w:r>
          </w:p>
        </w:tc>
        <w:tc>
          <w:tcPr>
            <w:tcW w:w="1276" w:type="dxa"/>
            <w:hideMark/>
          </w:tcPr>
          <w:p w14:paraId="4A7912C6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7720 </w:t>
            </w:r>
          </w:p>
        </w:tc>
      </w:tr>
      <w:tr w:rsidR="002B24DB" w:rsidRPr="004B37ED" w14:paraId="10A5798A" w14:textId="77777777" w:rsidTr="00F84E16">
        <w:trPr>
          <w:trHeight w:val="1550"/>
        </w:trPr>
        <w:tc>
          <w:tcPr>
            <w:tcW w:w="1413" w:type="dxa"/>
            <w:vMerge/>
            <w:hideMark/>
          </w:tcPr>
          <w:p w14:paraId="11077D83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14:paraId="6766BDD7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hideMark/>
          </w:tcPr>
          <w:p w14:paraId="6B8DC43C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hideMark/>
          </w:tcPr>
          <w:p w14:paraId="38AE178D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hideMark/>
          </w:tcPr>
          <w:p w14:paraId="09CA497A" w14:textId="77777777" w:rsidR="002B24DB" w:rsidRPr="004B37ED" w:rsidRDefault="002B24DB" w:rsidP="00CA39A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1423" w:type="dxa"/>
            <w:hideMark/>
          </w:tcPr>
          <w:p w14:paraId="30718B36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1 298 173,12 </w:t>
            </w:r>
          </w:p>
        </w:tc>
        <w:tc>
          <w:tcPr>
            <w:tcW w:w="2126" w:type="dxa"/>
            <w:hideMark/>
          </w:tcPr>
          <w:p w14:paraId="0EF671CF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показник продукту: кількість молодших спеціалістів з медичною освітою (фахових молодших бакалаврів), фахівців з початковим рівнем (короткий цикл) вищої медичної освіти, першим (бакалаврський) рівнем вищої медичної освіти і магістрів з медсестринства (крім асистентів фізичного терапевта, асистентів ерготерапевта, що надають реабілітаційну допомогу у стаціонарних умовах), осіб</w:t>
            </w:r>
          </w:p>
        </w:tc>
        <w:tc>
          <w:tcPr>
            <w:tcW w:w="1276" w:type="dxa"/>
            <w:hideMark/>
          </w:tcPr>
          <w:p w14:paraId="1F78C7DA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10 389 </w:t>
            </w:r>
          </w:p>
        </w:tc>
        <w:tc>
          <w:tcPr>
            <w:tcW w:w="1276" w:type="dxa"/>
            <w:hideMark/>
          </w:tcPr>
          <w:p w14:paraId="7797ABC4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11 890 </w:t>
            </w:r>
          </w:p>
        </w:tc>
      </w:tr>
      <w:tr w:rsidR="002B24DB" w:rsidRPr="004B37ED" w14:paraId="7C039B32" w14:textId="77777777" w:rsidTr="00347B21">
        <w:trPr>
          <w:trHeight w:val="2145"/>
        </w:trPr>
        <w:tc>
          <w:tcPr>
            <w:tcW w:w="1413" w:type="dxa"/>
            <w:vMerge/>
            <w:hideMark/>
          </w:tcPr>
          <w:p w14:paraId="37345603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14:paraId="6DD47160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hideMark/>
          </w:tcPr>
          <w:p w14:paraId="0A0E6A3D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hideMark/>
          </w:tcPr>
          <w:p w14:paraId="660E4B19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hideMark/>
          </w:tcPr>
          <w:p w14:paraId="4D63ECFA" w14:textId="77777777" w:rsidR="002B24DB" w:rsidRPr="004B37ED" w:rsidRDefault="002B24DB" w:rsidP="00CA39A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1423" w:type="dxa"/>
            <w:hideMark/>
          </w:tcPr>
          <w:p w14:paraId="0D870612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hideMark/>
          </w:tcPr>
          <w:p w14:paraId="10008C73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Показник продукту:</w:t>
            </w: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кількість працівників, що надають реабілітаційну допомогу в стаціонарних умовах (лікарів з фізичної та реабілітаційної медицини, фізичних терапевтів, ерготерапевтів), осіб </w:t>
            </w:r>
          </w:p>
        </w:tc>
        <w:tc>
          <w:tcPr>
            <w:tcW w:w="1276" w:type="dxa"/>
            <w:hideMark/>
          </w:tcPr>
          <w:p w14:paraId="0018DC31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225 </w:t>
            </w:r>
          </w:p>
        </w:tc>
        <w:tc>
          <w:tcPr>
            <w:tcW w:w="1276" w:type="dxa"/>
            <w:hideMark/>
          </w:tcPr>
          <w:p w14:paraId="54C3F10E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260 </w:t>
            </w:r>
          </w:p>
        </w:tc>
      </w:tr>
      <w:tr w:rsidR="002B24DB" w:rsidRPr="004B37ED" w14:paraId="040B7A97" w14:textId="77777777" w:rsidTr="00347B21">
        <w:trPr>
          <w:trHeight w:val="1725"/>
        </w:trPr>
        <w:tc>
          <w:tcPr>
            <w:tcW w:w="1413" w:type="dxa"/>
            <w:vMerge/>
            <w:hideMark/>
          </w:tcPr>
          <w:p w14:paraId="3165D755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14:paraId="2B02AF9F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hideMark/>
          </w:tcPr>
          <w:p w14:paraId="21183524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hideMark/>
          </w:tcPr>
          <w:p w14:paraId="38BB5968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hideMark/>
          </w:tcPr>
          <w:p w14:paraId="0661AE85" w14:textId="77777777" w:rsidR="002B24DB" w:rsidRPr="004B37ED" w:rsidRDefault="002B24DB" w:rsidP="00CA39A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1423" w:type="dxa"/>
            <w:hideMark/>
          </w:tcPr>
          <w:p w14:paraId="6C70DF95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hideMark/>
          </w:tcPr>
          <w:p w14:paraId="413E4AF8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Показник продукту:</w:t>
            </w: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кількість працівників, що надають реабілітаційну допомогу в стаціонарних умовах (асистентів фізичного терапевта, асистентів ерготеравта), осіб</w:t>
            </w:r>
          </w:p>
        </w:tc>
        <w:tc>
          <w:tcPr>
            <w:tcW w:w="1276" w:type="dxa"/>
            <w:hideMark/>
          </w:tcPr>
          <w:p w14:paraId="0DCEDF0B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90 </w:t>
            </w:r>
          </w:p>
        </w:tc>
        <w:tc>
          <w:tcPr>
            <w:tcW w:w="1276" w:type="dxa"/>
            <w:hideMark/>
          </w:tcPr>
          <w:p w14:paraId="544F5F65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110 </w:t>
            </w:r>
          </w:p>
        </w:tc>
      </w:tr>
      <w:tr w:rsidR="002B24DB" w:rsidRPr="004B37ED" w14:paraId="44EE9F15" w14:textId="77777777" w:rsidTr="00F84E16">
        <w:trPr>
          <w:trHeight w:val="1039"/>
        </w:trPr>
        <w:tc>
          <w:tcPr>
            <w:tcW w:w="1413" w:type="dxa"/>
            <w:vMerge/>
            <w:hideMark/>
          </w:tcPr>
          <w:p w14:paraId="476A9E9D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14:paraId="6053C9DF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hideMark/>
          </w:tcPr>
          <w:p w14:paraId="09744BE1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hideMark/>
          </w:tcPr>
          <w:p w14:paraId="4D8F9E60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hideMark/>
          </w:tcPr>
          <w:p w14:paraId="19BBA617" w14:textId="77777777" w:rsidR="002B24DB" w:rsidRPr="004B37ED" w:rsidRDefault="002B24DB" w:rsidP="00CA39A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1423" w:type="dxa"/>
            <w:hideMark/>
          </w:tcPr>
          <w:p w14:paraId="4EDF7255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hideMark/>
          </w:tcPr>
          <w:p w14:paraId="6D3206A3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Показник продукту: Кількість  лікарів ортезистів-протезистів, осіб.</w:t>
            </w:r>
          </w:p>
        </w:tc>
        <w:tc>
          <w:tcPr>
            <w:tcW w:w="1276" w:type="dxa"/>
            <w:hideMark/>
          </w:tcPr>
          <w:p w14:paraId="33357A4D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hideMark/>
          </w:tcPr>
          <w:p w14:paraId="25A1A2C8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10 </w:t>
            </w:r>
          </w:p>
        </w:tc>
      </w:tr>
      <w:tr w:rsidR="002B24DB" w:rsidRPr="004B37ED" w14:paraId="7BC55BE6" w14:textId="77777777" w:rsidTr="00F84E16">
        <w:trPr>
          <w:trHeight w:val="983"/>
        </w:trPr>
        <w:tc>
          <w:tcPr>
            <w:tcW w:w="1413" w:type="dxa"/>
            <w:vMerge/>
            <w:hideMark/>
          </w:tcPr>
          <w:p w14:paraId="1159CCF6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14:paraId="3D18B529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hideMark/>
          </w:tcPr>
          <w:p w14:paraId="77EABDC8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hideMark/>
          </w:tcPr>
          <w:p w14:paraId="037FA456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hideMark/>
          </w:tcPr>
          <w:p w14:paraId="52D02253" w14:textId="77777777" w:rsidR="002B24DB" w:rsidRPr="004B37ED" w:rsidRDefault="002B24DB" w:rsidP="00CA39A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1423" w:type="dxa"/>
            <w:hideMark/>
          </w:tcPr>
          <w:p w14:paraId="15C1B501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hideMark/>
          </w:tcPr>
          <w:p w14:paraId="43499B97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Показник продукту: Кількість асистентів лікарів ортезистів-протезистів,  осіб.</w:t>
            </w:r>
          </w:p>
        </w:tc>
        <w:tc>
          <w:tcPr>
            <w:tcW w:w="1276" w:type="dxa"/>
            <w:hideMark/>
          </w:tcPr>
          <w:p w14:paraId="79E2BA7B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hideMark/>
          </w:tcPr>
          <w:p w14:paraId="0A18FD98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10 </w:t>
            </w:r>
          </w:p>
        </w:tc>
      </w:tr>
      <w:tr w:rsidR="002B24DB" w:rsidRPr="004B37ED" w14:paraId="35151801" w14:textId="77777777" w:rsidTr="00347B21">
        <w:trPr>
          <w:trHeight w:val="900"/>
        </w:trPr>
        <w:tc>
          <w:tcPr>
            <w:tcW w:w="1413" w:type="dxa"/>
            <w:vMerge/>
            <w:hideMark/>
          </w:tcPr>
          <w:p w14:paraId="5D6382C9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14:paraId="4D9D3927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hideMark/>
          </w:tcPr>
          <w:p w14:paraId="23A668BB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hideMark/>
          </w:tcPr>
          <w:p w14:paraId="420CA66D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hideMark/>
          </w:tcPr>
          <w:p w14:paraId="7A596AED" w14:textId="77777777" w:rsidR="002B24DB" w:rsidRPr="004B37ED" w:rsidRDefault="002B24DB" w:rsidP="00CA39A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1423" w:type="dxa"/>
            <w:hideMark/>
          </w:tcPr>
          <w:p w14:paraId="5368034D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hideMark/>
          </w:tcPr>
          <w:p w14:paraId="58538EE4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показник продукту:  кількість осіб молодшого медичного персоналу </w:t>
            </w:r>
          </w:p>
        </w:tc>
        <w:tc>
          <w:tcPr>
            <w:tcW w:w="1276" w:type="dxa"/>
            <w:hideMark/>
          </w:tcPr>
          <w:p w14:paraId="189DAC94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6 230 </w:t>
            </w:r>
          </w:p>
        </w:tc>
        <w:tc>
          <w:tcPr>
            <w:tcW w:w="1276" w:type="dxa"/>
            <w:hideMark/>
          </w:tcPr>
          <w:p w14:paraId="73F264E2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8 045 </w:t>
            </w:r>
          </w:p>
        </w:tc>
      </w:tr>
      <w:tr w:rsidR="002B24DB" w:rsidRPr="004B37ED" w14:paraId="21FDEDAD" w14:textId="77777777" w:rsidTr="00F84E16">
        <w:trPr>
          <w:trHeight w:val="981"/>
        </w:trPr>
        <w:tc>
          <w:tcPr>
            <w:tcW w:w="1413" w:type="dxa"/>
            <w:vMerge/>
            <w:hideMark/>
          </w:tcPr>
          <w:p w14:paraId="0546B968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14:paraId="0543727F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hideMark/>
          </w:tcPr>
          <w:p w14:paraId="078C2FF5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hideMark/>
          </w:tcPr>
          <w:p w14:paraId="281877DD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hideMark/>
          </w:tcPr>
          <w:p w14:paraId="4DBB130E" w14:textId="77777777" w:rsidR="002B24DB" w:rsidRPr="004B37ED" w:rsidRDefault="002B24DB" w:rsidP="00CA39A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1423" w:type="dxa"/>
            <w:hideMark/>
          </w:tcPr>
          <w:p w14:paraId="1CD6DBA7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hideMark/>
          </w:tcPr>
          <w:p w14:paraId="79B547CB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показник ефективності: середньомісячний обсяг додаткових виплат на одного лікаря (крім лікарів-інтернів, лікарів фізичної та реабілітаційної медицини що надають реабілітаційну допомогу у стаціонарних умовах), професіоналів з вищою немедичною освітою, професіоналів у галузі охорони здоров'я у закладах охорони здоров'я (крім фізичних терапевтів, ерготерапевтів, що надають реабілітаційну допомогу у стаціонарних умовах), грн</w:t>
            </w:r>
          </w:p>
        </w:tc>
        <w:tc>
          <w:tcPr>
            <w:tcW w:w="1276" w:type="dxa"/>
            <w:hideMark/>
          </w:tcPr>
          <w:p w14:paraId="3A902471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5000,00 </w:t>
            </w:r>
          </w:p>
        </w:tc>
        <w:tc>
          <w:tcPr>
            <w:tcW w:w="1276" w:type="dxa"/>
            <w:hideMark/>
          </w:tcPr>
          <w:p w14:paraId="46D2D9E5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5000,00 </w:t>
            </w:r>
          </w:p>
        </w:tc>
      </w:tr>
      <w:tr w:rsidR="002B24DB" w:rsidRPr="004B37ED" w14:paraId="27186EDB" w14:textId="77777777" w:rsidTr="00347B21">
        <w:trPr>
          <w:trHeight w:val="4110"/>
        </w:trPr>
        <w:tc>
          <w:tcPr>
            <w:tcW w:w="1413" w:type="dxa"/>
            <w:vMerge/>
            <w:hideMark/>
          </w:tcPr>
          <w:p w14:paraId="2593C444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14:paraId="30DD23F2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hideMark/>
          </w:tcPr>
          <w:p w14:paraId="2EB8BA14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hideMark/>
          </w:tcPr>
          <w:p w14:paraId="7FC76FD2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hideMark/>
          </w:tcPr>
          <w:p w14:paraId="2119D456" w14:textId="77777777" w:rsidR="002B24DB" w:rsidRPr="004B37ED" w:rsidRDefault="002B24DB" w:rsidP="00CA39A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1423" w:type="dxa"/>
            <w:hideMark/>
          </w:tcPr>
          <w:p w14:paraId="76F3A342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hideMark/>
          </w:tcPr>
          <w:p w14:paraId="7BCB07C5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показник ефективності: середньомісячний обсяг додаткових виплат на одного молодшого спеціаліста з медичною освітою (фахових молодших бакалаврів), фахівцям з початковим рівнем (короткий цикл) вищої медичної освіти, першим (бакалаврський) рівнем вищої медичної освіти і магістрів з медсестринства, (крім асистентів фізичного терапевта, асистентів ерготерапевта, що надають реабілітаційну допомогу у стаціонарних умовах), грн</w:t>
            </w:r>
          </w:p>
        </w:tc>
        <w:tc>
          <w:tcPr>
            <w:tcW w:w="1276" w:type="dxa"/>
            <w:hideMark/>
          </w:tcPr>
          <w:p w14:paraId="36F606E1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4 000,00 </w:t>
            </w:r>
          </w:p>
        </w:tc>
        <w:tc>
          <w:tcPr>
            <w:tcW w:w="1276" w:type="dxa"/>
            <w:hideMark/>
          </w:tcPr>
          <w:p w14:paraId="1772B863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4 000,00 </w:t>
            </w:r>
          </w:p>
        </w:tc>
      </w:tr>
      <w:tr w:rsidR="002B24DB" w:rsidRPr="004B37ED" w14:paraId="4C68B3E6" w14:textId="77777777" w:rsidTr="00347B21">
        <w:trPr>
          <w:trHeight w:val="2355"/>
        </w:trPr>
        <w:tc>
          <w:tcPr>
            <w:tcW w:w="1413" w:type="dxa"/>
            <w:vMerge/>
            <w:hideMark/>
          </w:tcPr>
          <w:p w14:paraId="6F618692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14:paraId="0B748607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hideMark/>
          </w:tcPr>
          <w:p w14:paraId="10467F1B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hideMark/>
          </w:tcPr>
          <w:p w14:paraId="7B86EA00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hideMark/>
          </w:tcPr>
          <w:p w14:paraId="01CBEEE0" w14:textId="77777777" w:rsidR="002B24DB" w:rsidRPr="004B37ED" w:rsidRDefault="002B24DB" w:rsidP="00CA39A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1423" w:type="dxa"/>
            <w:hideMark/>
          </w:tcPr>
          <w:p w14:paraId="0797B802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hideMark/>
          </w:tcPr>
          <w:p w14:paraId="627AD3C8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показник ефективності: середньомісячний обсяг додаткових виплат на одного працівника, що надає реабілітаційну допомогу в стаціонарних умовах (лікаря з фізичної та реабілітаційної медицини, фізичного терапевта, ерготерапевта), грн</w:t>
            </w:r>
          </w:p>
        </w:tc>
        <w:tc>
          <w:tcPr>
            <w:tcW w:w="1276" w:type="dxa"/>
            <w:hideMark/>
          </w:tcPr>
          <w:p w14:paraId="1D1B9330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17 000,00 </w:t>
            </w:r>
          </w:p>
        </w:tc>
        <w:tc>
          <w:tcPr>
            <w:tcW w:w="1276" w:type="dxa"/>
            <w:hideMark/>
          </w:tcPr>
          <w:p w14:paraId="45EA6670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17 000,00 </w:t>
            </w:r>
          </w:p>
        </w:tc>
      </w:tr>
      <w:tr w:rsidR="002B24DB" w:rsidRPr="004B37ED" w14:paraId="4EEB285A" w14:textId="77777777" w:rsidTr="00347B21">
        <w:trPr>
          <w:trHeight w:val="2085"/>
        </w:trPr>
        <w:tc>
          <w:tcPr>
            <w:tcW w:w="1413" w:type="dxa"/>
            <w:vMerge/>
            <w:hideMark/>
          </w:tcPr>
          <w:p w14:paraId="67CA56E5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14:paraId="58746EF3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hideMark/>
          </w:tcPr>
          <w:p w14:paraId="05D13F5D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hideMark/>
          </w:tcPr>
          <w:p w14:paraId="47789984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hideMark/>
          </w:tcPr>
          <w:p w14:paraId="78A648C6" w14:textId="77777777" w:rsidR="002B24DB" w:rsidRPr="004B37ED" w:rsidRDefault="002B24DB" w:rsidP="00CA39A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1423" w:type="dxa"/>
            <w:hideMark/>
          </w:tcPr>
          <w:p w14:paraId="1E42BC62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hideMark/>
          </w:tcPr>
          <w:p w14:paraId="0141B72C" w14:textId="77777777" w:rsidR="002B24DB" w:rsidRPr="004B37ED" w:rsidRDefault="002B24DB" w:rsidP="00E128E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показник ефективності: середньомісячний обсяг додаткових виплат на одного працівника, що надає реабілітаційну допомогу в стаціонарних умовах (асистента фізичного терапевта, асистента ерготерапевта, грн</w:t>
            </w:r>
          </w:p>
        </w:tc>
        <w:tc>
          <w:tcPr>
            <w:tcW w:w="1276" w:type="dxa"/>
            <w:hideMark/>
          </w:tcPr>
          <w:p w14:paraId="511CD5F8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12 000,00 </w:t>
            </w:r>
          </w:p>
        </w:tc>
        <w:tc>
          <w:tcPr>
            <w:tcW w:w="1276" w:type="dxa"/>
            <w:hideMark/>
          </w:tcPr>
          <w:p w14:paraId="5A4973C5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12 000,00 </w:t>
            </w:r>
          </w:p>
        </w:tc>
      </w:tr>
      <w:tr w:rsidR="002B24DB" w:rsidRPr="004B37ED" w14:paraId="59E8108F" w14:textId="77777777" w:rsidTr="00F84E16">
        <w:trPr>
          <w:trHeight w:val="1689"/>
        </w:trPr>
        <w:tc>
          <w:tcPr>
            <w:tcW w:w="1413" w:type="dxa"/>
            <w:vMerge/>
            <w:hideMark/>
          </w:tcPr>
          <w:p w14:paraId="2E77F218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14:paraId="4A8F3DB0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hideMark/>
          </w:tcPr>
          <w:p w14:paraId="743E60E7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hideMark/>
          </w:tcPr>
          <w:p w14:paraId="18186133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hideMark/>
          </w:tcPr>
          <w:p w14:paraId="7A55AEED" w14:textId="77777777" w:rsidR="002B24DB" w:rsidRPr="004B37ED" w:rsidRDefault="002B24DB" w:rsidP="00CA39A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1423" w:type="dxa"/>
            <w:hideMark/>
          </w:tcPr>
          <w:p w14:paraId="4424AC4A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hideMark/>
          </w:tcPr>
          <w:p w14:paraId="4DF265D4" w14:textId="77777777" w:rsidR="002B24DB" w:rsidRPr="004B37ED" w:rsidRDefault="002B24DB" w:rsidP="00E128E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Показник ефективності: середньомісячний обсяг додаткових виплат на одного  лікаря ортезиста-протезиста, грн</w:t>
            </w:r>
          </w:p>
        </w:tc>
        <w:tc>
          <w:tcPr>
            <w:tcW w:w="1276" w:type="dxa"/>
            <w:hideMark/>
          </w:tcPr>
          <w:p w14:paraId="673952C6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hideMark/>
          </w:tcPr>
          <w:p w14:paraId="1D297130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50 000,00 </w:t>
            </w:r>
          </w:p>
        </w:tc>
      </w:tr>
      <w:tr w:rsidR="002B24DB" w:rsidRPr="004B37ED" w14:paraId="77F875BA" w14:textId="77777777" w:rsidTr="00F84E16">
        <w:trPr>
          <w:trHeight w:val="1973"/>
        </w:trPr>
        <w:tc>
          <w:tcPr>
            <w:tcW w:w="1413" w:type="dxa"/>
            <w:vMerge/>
            <w:hideMark/>
          </w:tcPr>
          <w:p w14:paraId="36D01AC9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14:paraId="68A06CE1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hideMark/>
          </w:tcPr>
          <w:p w14:paraId="6D7DE819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hideMark/>
          </w:tcPr>
          <w:p w14:paraId="123E0AA9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hideMark/>
          </w:tcPr>
          <w:p w14:paraId="712BA75E" w14:textId="77777777" w:rsidR="002B24DB" w:rsidRPr="004B37ED" w:rsidRDefault="002B24DB" w:rsidP="00CA39A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1423" w:type="dxa"/>
            <w:hideMark/>
          </w:tcPr>
          <w:p w14:paraId="32C0C745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hideMark/>
          </w:tcPr>
          <w:p w14:paraId="28A9814D" w14:textId="77777777" w:rsidR="002B24DB" w:rsidRPr="004B37ED" w:rsidRDefault="002B24DB" w:rsidP="00E128E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Показник ефективності: середньомісячний обсяг додаткових виплат на одного  асистента лікаря ортезиста-протезиста,   грн</w:t>
            </w:r>
          </w:p>
        </w:tc>
        <w:tc>
          <w:tcPr>
            <w:tcW w:w="1276" w:type="dxa"/>
            <w:hideMark/>
          </w:tcPr>
          <w:p w14:paraId="09D23BA5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hideMark/>
          </w:tcPr>
          <w:p w14:paraId="6146E628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20 000,00 </w:t>
            </w:r>
          </w:p>
        </w:tc>
      </w:tr>
      <w:tr w:rsidR="002B24DB" w:rsidRPr="004B37ED" w14:paraId="7EBE212A" w14:textId="77777777" w:rsidTr="00347B21">
        <w:trPr>
          <w:trHeight w:val="1425"/>
        </w:trPr>
        <w:tc>
          <w:tcPr>
            <w:tcW w:w="1413" w:type="dxa"/>
            <w:vMerge/>
            <w:hideMark/>
          </w:tcPr>
          <w:p w14:paraId="11C961AD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14:paraId="75B4DC1F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hideMark/>
          </w:tcPr>
          <w:p w14:paraId="366D8CE5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hideMark/>
          </w:tcPr>
          <w:p w14:paraId="23C2FBF1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hideMark/>
          </w:tcPr>
          <w:p w14:paraId="0A4822B9" w14:textId="77777777" w:rsidR="002B24DB" w:rsidRPr="004B37ED" w:rsidRDefault="002B24DB" w:rsidP="00CA39A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1423" w:type="dxa"/>
            <w:hideMark/>
          </w:tcPr>
          <w:p w14:paraId="0C68C257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hideMark/>
          </w:tcPr>
          <w:p w14:paraId="29F440C0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показник ефективності: середньомісячний обсяг  додаткових виплат  на одного працівника молодшого медичного персоналу, грн</w:t>
            </w:r>
          </w:p>
        </w:tc>
        <w:tc>
          <w:tcPr>
            <w:tcW w:w="1276" w:type="dxa"/>
            <w:hideMark/>
          </w:tcPr>
          <w:p w14:paraId="1A64C19F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2 000,00 </w:t>
            </w:r>
          </w:p>
        </w:tc>
        <w:tc>
          <w:tcPr>
            <w:tcW w:w="1276" w:type="dxa"/>
            <w:hideMark/>
          </w:tcPr>
          <w:p w14:paraId="2664A942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3 000,00 </w:t>
            </w:r>
          </w:p>
        </w:tc>
      </w:tr>
      <w:tr w:rsidR="002B24DB" w:rsidRPr="004B37ED" w14:paraId="085A4F6E" w14:textId="77777777" w:rsidTr="00347B21">
        <w:trPr>
          <w:trHeight w:val="915"/>
        </w:trPr>
        <w:tc>
          <w:tcPr>
            <w:tcW w:w="1413" w:type="dxa"/>
            <w:vMerge/>
            <w:hideMark/>
          </w:tcPr>
          <w:p w14:paraId="5F0B4071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14:paraId="4DB41660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hideMark/>
          </w:tcPr>
          <w:p w14:paraId="10CB4D39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hideMark/>
          </w:tcPr>
          <w:p w14:paraId="625E5035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hideMark/>
          </w:tcPr>
          <w:p w14:paraId="5737EC8D" w14:textId="77777777" w:rsidR="002B24DB" w:rsidRPr="004B37ED" w:rsidRDefault="002B24DB" w:rsidP="00CA39A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1423" w:type="dxa"/>
            <w:hideMark/>
          </w:tcPr>
          <w:p w14:paraId="177ABB43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hideMark/>
          </w:tcPr>
          <w:p w14:paraId="5A6EAB3E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показник якості: рівень  охоплення медичного персоналу виплатою, %</w:t>
            </w:r>
          </w:p>
        </w:tc>
        <w:tc>
          <w:tcPr>
            <w:tcW w:w="1276" w:type="dxa"/>
            <w:hideMark/>
          </w:tcPr>
          <w:p w14:paraId="62AC4250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100%</w:t>
            </w:r>
          </w:p>
        </w:tc>
        <w:tc>
          <w:tcPr>
            <w:tcW w:w="1276" w:type="dxa"/>
            <w:hideMark/>
          </w:tcPr>
          <w:p w14:paraId="0578DA45" w14:textId="77777777" w:rsidR="002B24DB" w:rsidRPr="004B37ED" w:rsidRDefault="002B24DB" w:rsidP="00CA39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3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100%</w:t>
            </w:r>
          </w:p>
        </w:tc>
      </w:tr>
    </w:tbl>
    <w:p w14:paraId="492BA73B" w14:textId="73F496E3" w:rsidR="00E36EAC" w:rsidRPr="006461B5" w:rsidRDefault="00E36EAC" w:rsidP="00E36EAC">
      <w:pPr>
        <w:pStyle w:val="aa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61B5">
        <w:rPr>
          <w:rFonts w:ascii="Times New Roman" w:hAnsi="Times New Roman" w:cs="Times New Roman"/>
          <w:sz w:val="26"/>
          <w:szCs w:val="26"/>
          <w:lang w:val="uk-UA"/>
        </w:rPr>
        <w:t>___________</w:t>
      </w:r>
    </w:p>
    <w:p w14:paraId="2ABB7141" w14:textId="77777777" w:rsidR="00E36EAC" w:rsidRPr="006461B5" w:rsidRDefault="00E36EAC" w:rsidP="00E36EAC">
      <w:pPr>
        <w:pStyle w:val="aa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61B5">
        <w:rPr>
          <w:rFonts w:ascii="Times New Roman" w:hAnsi="Times New Roman" w:cs="Times New Roman"/>
          <w:sz w:val="26"/>
          <w:szCs w:val="26"/>
          <w:lang w:val="uk-UA"/>
        </w:rPr>
        <w:t xml:space="preserve">* Установити, що лікарям військово-лікарських комісій, що забезпечують проведення медичного огляду осіб, який організовується територіальними центрами комплектування та соціальної підтримки по показникам ефективності, до показника ефективності </w:t>
      </w: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6461B5">
        <w:rPr>
          <w:rFonts w:ascii="Times New Roman" w:hAnsi="Times New Roman" w:cs="Times New Roman"/>
          <w:sz w:val="26"/>
          <w:szCs w:val="26"/>
          <w:lang w:val="uk-UA"/>
        </w:rPr>
        <w:t>середньомісячний обсяг додаткових виплат на одного лікаря (крім лікарів-інтернів, лікарів фізичної та реабілітаційної медицини, що надають реабілітаційну допомогу у стаціонарних умовах), професіоналів з вищою немедичною освітою, професіоналів у галузі охорони здоров</w:t>
      </w:r>
      <w:r w:rsidRPr="00C75B14"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6461B5">
        <w:rPr>
          <w:rFonts w:ascii="Times New Roman" w:hAnsi="Times New Roman" w:cs="Times New Roman"/>
          <w:sz w:val="26"/>
          <w:szCs w:val="26"/>
          <w:lang w:val="uk-UA"/>
        </w:rPr>
        <w:t>я у закладах охорони здоров’я (крім фізичних терапевтів, ерготерапевтів, що надають реабілітаційну допомогу у стаціонарних умовах)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6461B5">
        <w:rPr>
          <w:rFonts w:ascii="Times New Roman" w:hAnsi="Times New Roman" w:cs="Times New Roman"/>
          <w:sz w:val="26"/>
          <w:szCs w:val="26"/>
          <w:lang w:val="uk-UA"/>
        </w:rPr>
        <w:t xml:space="preserve"> застосовується збільшуючий коефіцієнт 2.</w:t>
      </w:r>
    </w:p>
    <w:p w14:paraId="0BA5D195" w14:textId="7E6CD0AD" w:rsidR="00773257" w:rsidRDefault="00773257" w:rsidP="00773257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B37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1619FF" w:rsidRPr="004B37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EBF2596" w14:textId="77777777" w:rsidR="001578AC" w:rsidRPr="004B37ED" w:rsidRDefault="001578AC" w:rsidP="00773257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365F174" w14:textId="77777777" w:rsidR="000152C2" w:rsidRPr="004B37ED" w:rsidRDefault="00325AA2" w:rsidP="000152C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B37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0152C2" w:rsidRPr="004B37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Позицію «Разом по Програмі» викласти в такій редакції:</w:t>
      </w:r>
    </w:p>
    <w:p w14:paraId="28ECF56A" w14:textId="77777777" w:rsidR="000152C2" w:rsidRPr="004B37ED" w:rsidRDefault="000152C2" w:rsidP="000152C2">
      <w:pPr>
        <w:pStyle w:val="b-artintro"/>
        <w:shd w:val="clear" w:color="auto" w:fill="FCFCFC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B37ED">
        <w:rPr>
          <w:color w:val="000000" w:themeColor="text1"/>
          <w:sz w:val="26"/>
          <w:szCs w:val="26"/>
        </w:rPr>
        <w:t>«</w:t>
      </w:r>
    </w:p>
    <w:tbl>
      <w:tblPr>
        <w:tblW w:w="10773" w:type="dxa"/>
        <w:tblInd w:w="-10" w:type="dxa"/>
        <w:tblLook w:val="0000" w:firstRow="0" w:lastRow="0" w:firstColumn="0" w:lastColumn="0" w:noHBand="0" w:noVBand="0"/>
      </w:tblPr>
      <w:tblGrid>
        <w:gridCol w:w="5812"/>
        <w:gridCol w:w="992"/>
        <w:gridCol w:w="567"/>
        <w:gridCol w:w="1701"/>
        <w:gridCol w:w="1701"/>
      </w:tblGrid>
      <w:tr w:rsidR="00C668FE" w:rsidRPr="004B37ED" w14:paraId="17B6B45A" w14:textId="77777777" w:rsidTr="00C668FE">
        <w:trPr>
          <w:trHeight w:val="47"/>
        </w:trPr>
        <w:tc>
          <w:tcPr>
            <w:tcW w:w="581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58FAA2B" w14:textId="77777777" w:rsidR="00C668FE" w:rsidRPr="004B37ED" w:rsidRDefault="00C668FE" w:rsidP="00CA39A4">
            <w:pPr>
              <w:spacing w:after="7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B37E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РАЗОМ ПО ПРОГРАМІ: кошти бюджету міста Києва 23 490 991,75 тис. грн</w:t>
            </w:r>
            <w:bookmarkStart w:id="46" w:name="2007"/>
            <w:bookmarkEnd w:id="46"/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37FF21D" w14:textId="77777777" w:rsidR="00C668FE" w:rsidRPr="004B37ED" w:rsidRDefault="00C668FE" w:rsidP="00CA39A4">
            <w:pPr>
              <w:spacing w:after="7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B37ED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2024</w:t>
            </w:r>
            <w:bookmarkStart w:id="47" w:name="2008"/>
            <w:bookmarkEnd w:id="47"/>
          </w:p>
        </w:tc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E7808BF" w14:textId="77777777" w:rsidR="00C668FE" w:rsidRPr="004B37ED" w:rsidRDefault="00C668FE" w:rsidP="00CA39A4">
            <w:pPr>
              <w:spacing w:after="75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B37ED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bookmarkStart w:id="48" w:name="2009"/>
            <w:bookmarkEnd w:id="48"/>
          </w:p>
        </w:tc>
        <w:tc>
          <w:tcPr>
            <w:tcW w:w="17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DF4426E" w14:textId="77777777" w:rsidR="00C668FE" w:rsidRPr="004B37ED" w:rsidRDefault="00C668FE" w:rsidP="00CA39A4">
            <w:pPr>
              <w:spacing w:after="7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B37ED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11 048 318,08</w:t>
            </w:r>
            <w:bookmarkStart w:id="49" w:name="2010"/>
            <w:bookmarkEnd w:id="49"/>
          </w:p>
        </w:tc>
        <w:tc>
          <w:tcPr>
            <w:tcW w:w="17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EA554E5" w14:textId="77777777" w:rsidR="00C668FE" w:rsidRPr="004B37ED" w:rsidRDefault="00C668FE" w:rsidP="00CA39A4">
            <w:pPr>
              <w:spacing w:after="7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C668FE" w:rsidRPr="004B37ED" w14:paraId="5CC9EB11" w14:textId="77777777" w:rsidTr="00C668FE">
        <w:trPr>
          <w:trHeight w:val="47"/>
        </w:trPr>
        <w:tc>
          <w:tcPr>
            <w:tcW w:w="581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14:paraId="5731AE65" w14:textId="77777777" w:rsidR="00C668FE" w:rsidRPr="004B37ED" w:rsidRDefault="00C668FE" w:rsidP="00CA39A4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7FC4065" w14:textId="77777777" w:rsidR="00C668FE" w:rsidRPr="004B37ED" w:rsidRDefault="00C668FE" w:rsidP="00CA39A4">
            <w:pPr>
              <w:spacing w:after="7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B37ED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2025</w:t>
            </w:r>
            <w:bookmarkStart w:id="50" w:name="2011"/>
            <w:bookmarkEnd w:id="50"/>
          </w:p>
        </w:tc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33F2528" w14:textId="77777777" w:rsidR="00C668FE" w:rsidRPr="004B37ED" w:rsidRDefault="00C668FE" w:rsidP="00CA39A4">
            <w:pPr>
              <w:spacing w:after="75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B37ED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bookmarkStart w:id="51" w:name="2012"/>
            <w:bookmarkEnd w:id="51"/>
          </w:p>
        </w:tc>
        <w:tc>
          <w:tcPr>
            <w:tcW w:w="17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881276D" w14:textId="77777777" w:rsidR="00C668FE" w:rsidRPr="004B37ED" w:rsidRDefault="00C668FE" w:rsidP="00CA39A4">
            <w:pPr>
              <w:spacing w:after="7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B37ED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12 442 673,67</w:t>
            </w:r>
          </w:p>
        </w:tc>
        <w:tc>
          <w:tcPr>
            <w:tcW w:w="17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DD26DC6" w14:textId="77777777" w:rsidR="00C668FE" w:rsidRPr="004B37ED" w:rsidRDefault="00C668FE" w:rsidP="00CA39A4">
            <w:pPr>
              <w:spacing w:after="7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C668FE" w:rsidRPr="004B37ED" w14:paraId="7BDC0A1A" w14:textId="77777777" w:rsidTr="00C668FE">
        <w:trPr>
          <w:trHeight w:val="47"/>
        </w:trPr>
        <w:tc>
          <w:tcPr>
            <w:tcW w:w="581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94BD679" w14:textId="77777777" w:rsidR="00C668FE" w:rsidRPr="004B37ED" w:rsidRDefault="00C668FE" w:rsidP="00CA39A4">
            <w:pPr>
              <w:spacing w:after="7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B37E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РАЗОМ ПО ПРОГРАМІ: інші джерела </w:t>
            </w:r>
          </w:p>
          <w:p w14:paraId="7D6FBDFD" w14:textId="77777777" w:rsidR="00C668FE" w:rsidRPr="004B37ED" w:rsidRDefault="00C668FE" w:rsidP="00CA39A4">
            <w:pPr>
              <w:spacing w:after="7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B37E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3 263 329,62 тис. грн</w:t>
            </w:r>
            <w:bookmarkStart w:id="52" w:name="2014"/>
            <w:bookmarkEnd w:id="52"/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2D8918A" w14:textId="77777777" w:rsidR="00C668FE" w:rsidRPr="004B37ED" w:rsidRDefault="00C668FE" w:rsidP="00CA39A4">
            <w:pPr>
              <w:spacing w:after="7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B37ED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2024</w:t>
            </w:r>
            <w:bookmarkStart w:id="53" w:name="2015"/>
            <w:bookmarkEnd w:id="53"/>
          </w:p>
        </w:tc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9543414" w14:textId="77777777" w:rsidR="00C668FE" w:rsidRPr="004B37ED" w:rsidRDefault="00C668FE" w:rsidP="00CA39A4">
            <w:pPr>
              <w:spacing w:after="75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B37ED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bookmarkStart w:id="54" w:name="2016"/>
            <w:bookmarkEnd w:id="54"/>
          </w:p>
        </w:tc>
        <w:tc>
          <w:tcPr>
            <w:tcW w:w="17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E5E87AD" w14:textId="77777777" w:rsidR="00C668FE" w:rsidRPr="004B37ED" w:rsidRDefault="00C668FE" w:rsidP="00CA39A4">
            <w:pPr>
              <w:spacing w:after="7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B37ED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1 606 597,66</w:t>
            </w:r>
            <w:bookmarkStart w:id="55" w:name="2017"/>
            <w:bookmarkEnd w:id="55"/>
          </w:p>
        </w:tc>
        <w:tc>
          <w:tcPr>
            <w:tcW w:w="17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B8802B1" w14:textId="77777777" w:rsidR="00C668FE" w:rsidRPr="004B37ED" w:rsidRDefault="00C668FE" w:rsidP="00CA39A4">
            <w:pPr>
              <w:spacing w:after="7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C668FE" w:rsidRPr="004B37ED" w14:paraId="7AEA34B4" w14:textId="77777777" w:rsidTr="00C668FE">
        <w:trPr>
          <w:trHeight w:val="47"/>
        </w:trPr>
        <w:tc>
          <w:tcPr>
            <w:tcW w:w="581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14:paraId="437C846D" w14:textId="77777777" w:rsidR="00C668FE" w:rsidRPr="004B37ED" w:rsidRDefault="00C668FE" w:rsidP="00CA39A4">
            <w:pPr>
              <w:spacing w:after="200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AF1228A" w14:textId="77777777" w:rsidR="00C668FE" w:rsidRPr="004B37ED" w:rsidRDefault="00C668FE" w:rsidP="00CA39A4">
            <w:pPr>
              <w:spacing w:after="7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B37ED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2025</w:t>
            </w:r>
            <w:bookmarkStart w:id="56" w:name="2018"/>
            <w:bookmarkEnd w:id="56"/>
          </w:p>
        </w:tc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FC6D2EA" w14:textId="77777777" w:rsidR="00C668FE" w:rsidRPr="004B37ED" w:rsidRDefault="00C668FE" w:rsidP="00CA39A4">
            <w:pPr>
              <w:spacing w:after="75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B37ED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bookmarkStart w:id="57" w:name="2019"/>
            <w:bookmarkEnd w:id="57"/>
          </w:p>
        </w:tc>
        <w:tc>
          <w:tcPr>
            <w:tcW w:w="17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996191F" w14:textId="77777777" w:rsidR="00C668FE" w:rsidRPr="004B37ED" w:rsidRDefault="00C668FE" w:rsidP="00CA39A4">
            <w:pPr>
              <w:spacing w:after="7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B37ED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1 656 731,96</w:t>
            </w:r>
            <w:bookmarkStart w:id="58" w:name="2020"/>
            <w:bookmarkEnd w:id="58"/>
          </w:p>
        </w:tc>
        <w:tc>
          <w:tcPr>
            <w:tcW w:w="17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E4EAA5C" w14:textId="77777777" w:rsidR="00C668FE" w:rsidRPr="004B37ED" w:rsidRDefault="00C668FE" w:rsidP="00CA39A4">
            <w:pPr>
              <w:spacing w:after="7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</w:tr>
    </w:tbl>
    <w:p w14:paraId="05F4E0D2" w14:textId="61193D09" w:rsidR="000152C2" w:rsidRPr="004B37ED" w:rsidRDefault="00D25F17" w:rsidP="00E36EA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B37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».</w:t>
      </w:r>
    </w:p>
    <w:p w14:paraId="57E62A28" w14:textId="1611D37F" w:rsidR="00D76289" w:rsidRDefault="00D76289" w:rsidP="001619F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4EB671C" w14:textId="77777777" w:rsidR="001578AC" w:rsidRPr="004B37ED" w:rsidRDefault="001578AC" w:rsidP="001619F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3754886" w14:textId="54B0588A" w:rsidR="00D76289" w:rsidRPr="004B37ED" w:rsidRDefault="00D76289" w:rsidP="00D76289">
      <w:pPr>
        <w:shd w:val="clear" w:color="auto" w:fill="FFFFFF"/>
        <w:tabs>
          <w:tab w:val="left" w:pos="0"/>
        </w:tabs>
        <w:ind w:right="-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B37ED">
        <w:rPr>
          <w:rFonts w:ascii="Times New Roman" w:hAnsi="Times New Roman"/>
          <w:color w:val="000000"/>
          <w:sz w:val="28"/>
          <w:szCs w:val="28"/>
          <w:lang w:val="uk-UA"/>
        </w:rPr>
        <w:t>Київський міський голова</w:t>
      </w:r>
      <w:r w:rsidRPr="004B37E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B37E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B37E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B37E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B37E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B37ED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   </w:t>
      </w:r>
      <w:r w:rsidRPr="004B37ED">
        <w:rPr>
          <w:rFonts w:ascii="Times New Roman" w:hAnsi="Times New Roman"/>
          <w:color w:val="000000"/>
          <w:sz w:val="28"/>
          <w:szCs w:val="28"/>
          <w:lang w:val="uk-UA"/>
        </w:rPr>
        <w:tab/>
        <w:t>Віталій КЛИЧКО</w:t>
      </w:r>
    </w:p>
    <w:p w14:paraId="756C3EC1" w14:textId="77777777" w:rsidR="00D76289" w:rsidRPr="004B37ED" w:rsidRDefault="00D76289" w:rsidP="00D76289">
      <w:pPr>
        <w:tabs>
          <w:tab w:val="left" w:pos="6804"/>
        </w:tabs>
        <w:ind w:left="-142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0423FB88" w14:textId="77777777" w:rsidR="00D76289" w:rsidRPr="004B37ED" w:rsidRDefault="00D76289" w:rsidP="001619F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D76289" w:rsidRPr="004B37ED" w:rsidSect="00BE7722">
      <w:type w:val="continuous"/>
      <w:pgSz w:w="11910" w:h="16840"/>
      <w:pgMar w:top="1135" w:right="570" w:bottom="426" w:left="85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2E0A"/>
    <w:multiLevelType w:val="hybridMultilevel"/>
    <w:tmpl w:val="CF3E1158"/>
    <w:lvl w:ilvl="0" w:tplc="9BEACE5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55BEA"/>
    <w:multiLevelType w:val="hybridMultilevel"/>
    <w:tmpl w:val="52C83A34"/>
    <w:lvl w:ilvl="0" w:tplc="78CA7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150354"/>
    <w:multiLevelType w:val="hybridMultilevel"/>
    <w:tmpl w:val="DBA0183C"/>
    <w:lvl w:ilvl="0" w:tplc="FB964A60">
      <w:start w:val="1"/>
      <w:numFmt w:val="decimal"/>
      <w:lvlText w:val="%1."/>
      <w:lvlJc w:val="left"/>
      <w:pPr>
        <w:ind w:left="1080" w:hanging="396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64" w:hanging="360"/>
      </w:pPr>
    </w:lvl>
    <w:lvl w:ilvl="2" w:tplc="2000001B" w:tentative="1">
      <w:start w:val="1"/>
      <w:numFmt w:val="lowerRoman"/>
      <w:lvlText w:val="%3."/>
      <w:lvlJc w:val="right"/>
      <w:pPr>
        <w:ind w:left="2484" w:hanging="180"/>
      </w:pPr>
    </w:lvl>
    <w:lvl w:ilvl="3" w:tplc="2000000F" w:tentative="1">
      <w:start w:val="1"/>
      <w:numFmt w:val="decimal"/>
      <w:lvlText w:val="%4."/>
      <w:lvlJc w:val="left"/>
      <w:pPr>
        <w:ind w:left="3204" w:hanging="360"/>
      </w:pPr>
    </w:lvl>
    <w:lvl w:ilvl="4" w:tplc="20000019" w:tentative="1">
      <w:start w:val="1"/>
      <w:numFmt w:val="lowerLetter"/>
      <w:lvlText w:val="%5."/>
      <w:lvlJc w:val="left"/>
      <w:pPr>
        <w:ind w:left="3924" w:hanging="360"/>
      </w:pPr>
    </w:lvl>
    <w:lvl w:ilvl="5" w:tplc="2000001B" w:tentative="1">
      <w:start w:val="1"/>
      <w:numFmt w:val="lowerRoman"/>
      <w:lvlText w:val="%6."/>
      <w:lvlJc w:val="right"/>
      <w:pPr>
        <w:ind w:left="4644" w:hanging="180"/>
      </w:pPr>
    </w:lvl>
    <w:lvl w:ilvl="6" w:tplc="2000000F" w:tentative="1">
      <w:start w:val="1"/>
      <w:numFmt w:val="decimal"/>
      <w:lvlText w:val="%7."/>
      <w:lvlJc w:val="left"/>
      <w:pPr>
        <w:ind w:left="5364" w:hanging="360"/>
      </w:pPr>
    </w:lvl>
    <w:lvl w:ilvl="7" w:tplc="20000019" w:tentative="1">
      <w:start w:val="1"/>
      <w:numFmt w:val="lowerLetter"/>
      <w:lvlText w:val="%8."/>
      <w:lvlJc w:val="left"/>
      <w:pPr>
        <w:ind w:left="6084" w:hanging="360"/>
      </w:pPr>
    </w:lvl>
    <w:lvl w:ilvl="8" w:tplc="2000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" w15:restartNumberingAfterBreak="0">
    <w:nsid w:val="474D14C9"/>
    <w:multiLevelType w:val="hybridMultilevel"/>
    <w:tmpl w:val="494E8926"/>
    <w:lvl w:ilvl="0" w:tplc="5BA432E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32117A"/>
    <w:multiLevelType w:val="hybridMultilevel"/>
    <w:tmpl w:val="56D0DE4C"/>
    <w:lvl w:ilvl="0" w:tplc="CCE27D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FACC6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E0C3F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AAE0C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60DC9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82289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0636C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D46EB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86932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0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3B3"/>
    <w:rsid w:val="0000299A"/>
    <w:rsid w:val="00005B22"/>
    <w:rsid w:val="000152C2"/>
    <w:rsid w:val="000303C9"/>
    <w:rsid w:val="00046A0F"/>
    <w:rsid w:val="000471CA"/>
    <w:rsid w:val="0005465E"/>
    <w:rsid w:val="00055EB2"/>
    <w:rsid w:val="00056CAF"/>
    <w:rsid w:val="00070023"/>
    <w:rsid w:val="00077599"/>
    <w:rsid w:val="00084AED"/>
    <w:rsid w:val="0009635B"/>
    <w:rsid w:val="000B190E"/>
    <w:rsid w:val="000C5956"/>
    <w:rsid w:val="000D7392"/>
    <w:rsid w:val="000E5311"/>
    <w:rsid w:val="000F16B6"/>
    <w:rsid w:val="00106500"/>
    <w:rsid w:val="00135826"/>
    <w:rsid w:val="001421FB"/>
    <w:rsid w:val="00143127"/>
    <w:rsid w:val="001435AE"/>
    <w:rsid w:val="00145A56"/>
    <w:rsid w:val="001537B0"/>
    <w:rsid w:val="00154B33"/>
    <w:rsid w:val="001569DC"/>
    <w:rsid w:val="001578AC"/>
    <w:rsid w:val="001619FF"/>
    <w:rsid w:val="00163286"/>
    <w:rsid w:val="001900FF"/>
    <w:rsid w:val="00191731"/>
    <w:rsid w:val="0019223E"/>
    <w:rsid w:val="001A51FE"/>
    <w:rsid w:val="001A6BCB"/>
    <w:rsid w:val="001B0D92"/>
    <w:rsid w:val="001D1ACD"/>
    <w:rsid w:val="001D74E7"/>
    <w:rsid w:val="001E1C87"/>
    <w:rsid w:val="001E3955"/>
    <w:rsid w:val="001E75D5"/>
    <w:rsid w:val="001F0A80"/>
    <w:rsid w:val="001F7D1F"/>
    <w:rsid w:val="00200948"/>
    <w:rsid w:val="002067A6"/>
    <w:rsid w:val="00222F8A"/>
    <w:rsid w:val="00223039"/>
    <w:rsid w:val="00233BA4"/>
    <w:rsid w:val="00236146"/>
    <w:rsid w:val="0024735A"/>
    <w:rsid w:val="002510F4"/>
    <w:rsid w:val="00252026"/>
    <w:rsid w:val="00262BE6"/>
    <w:rsid w:val="002676DD"/>
    <w:rsid w:val="00281EBF"/>
    <w:rsid w:val="00284173"/>
    <w:rsid w:val="00286378"/>
    <w:rsid w:val="002A0453"/>
    <w:rsid w:val="002A3E99"/>
    <w:rsid w:val="002B1494"/>
    <w:rsid w:val="002B24DB"/>
    <w:rsid w:val="002B690F"/>
    <w:rsid w:val="002B747D"/>
    <w:rsid w:val="002C0033"/>
    <w:rsid w:val="002C7280"/>
    <w:rsid w:val="002E6A2D"/>
    <w:rsid w:val="002F0AC3"/>
    <w:rsid w:val="002F130E"/>
    <w:rsid w:val="002F37D2"/>
    <w:rsid w:val="002F4CD8"/>
    <w:rsid w:val="00302513"/>
    <w:rsid w:val="003130D8"/>
    <w:rsid w:val="00315EBE"/>
    <w:rsid w:val="00322651"/>
    <w:rsid w:val="00325AA2"/>
    <w:rsid w:val="003327B7"/>
    <w:rsid w:val="003439F6"/>
    <w:rsid w:val="00347B21"/>
    <w:rsid w:val="00350724"/>
    <w:rsid w:val="003533A3"/>
    <w:rsid w:val="003560A8"/>
    <w:rsid w:val="003958E7"/>
    <w:rsid w:val="00395E46"/>
    <w:rsid w:val="003B1BE6"/>
    <w:rsid w:val="003B22A0"/>
    <w:rsid w:val="003B75BD"/>
    <w:rsid w:val="003B7DA2"/>
    <w:rsid w:val="003D3AE5"/>
    <w:rsid w:val="003D7421"/>
    <w:rsid w:val="003E5BAC"/>
    <w:rsid w:val="00401796"/>
    <w:rsid w:val="00420B00"/>
    <w:rsid w:val="00426F1B"/>
    <w:rsid w:val="0043701F"/>
    <w:rsid w:val="00446603"/>
    <w:rsid w:val="00466D71"/>
    <w:rsid w:val="00471099"/>
    <w:rsid w:val="00477BDF"/>
    <w:rsid w:val="00482D2D"/>
    <w:rsid w:val="00485803"/>
    <w:rsid w:val="004B23B3"/>
    <w:rsid w:val="004B37ED"/>
    <w:rsid w:val="004B53A5"/>
    <w:rsid w:val="004C0B0E"/>
    <w:rsid w:val="004C6C33"/>
    <w:rsid w:val="004D05DD"/>
    <w:rsid w:val="004D25A1"/>
    <w:rsid w:val="004D2970"/>
    <w:rsid w:val="004D3EA8"/>
    <w:rsid w:val="004E25B5"/>
    <w:rsid w:val="004E3D51"/>
    <w:rsid w:val="00500D16"/>
    <w:rsid w:val="00506CBE"/>
    <w:rsid w:val="00507F57"/>
    <w:rsid w:val="00512A0B"/>
    <w:rsid w:val="00525433"/>
    <w:rsid w:val="005270C5"/>
    <w:rsid w:val="005311D7"/>
    <w:rsid w:val="005374C8"/>
    <w:rsid w:val="00542691"/>
    <w:rsid w:val="005442F6"/>
    <w:rsid w:val="00552535"/>
    <w:rsid w:val="00575025"/>
    <w:rsid w:val="00582706"/>
    <w:rsid w:val="00596357"/>
    <w:rsid w:val="005B4E97"/>
    <w:rsid w:val="005B5880"/>
    <w:rsid w:val="005D4B6D"/>
    <w:rsid w:val="005E2AFC"/>
    <w:rsid w:val="005F16DE"/>
    <w:rsid w:val="005F5192"/>
    <w:rsid w:val="00601129"/>
    <w:rsid w:val="0060688D"/>
    <w:rsid w:val="006222D2"/>
    <w:rsid w:val="00625138"/>
    <w:rsid w:val="006258FC"/>
    <w:rsid w:val="0063248C"/>
    <w:rsid w:val="006374D1"/>
    <w:rsid w:val="00642275"/>
    <w:rsid w:val="00646089"/>
    <w:rsid w:val="006461B5"/>
    <w:rsid w:val="00653A67"/>
    <w:rsid w:val="0065664E"/>
    <w:rsid w:val="00663E26"/>
    <w:rsid w:val="00666EDB"/>
    <w:rsid w:val="00667E2D"/>
    <w:rsid w:val="00671841"/>
    <w:rsid w:val="0068267D"/>
    <w:rsid w:val="00685822"/>
    <w:rsid w:val="00696407"/>
    <w:rsid w:val="006B78F3"/>
    <w:rsid w:val="006C5155"/>
    <w:rsid w:val="006D4015"/>
    <w:rsid w:val="006D4972"/>
    <w:rsid w:val="00713D1F"/>
    <w:rsid w:val="00715A15"/>
    <w:rsid w:val="00723355"/>
    <w:rsid w:val="00746AE1"/>
    <w:rsid w:val="00761A1E"/>
    <w:rsid w:val="00761C18"/>
    <w:rsid w:val="00770989"/>
    <w:rsid w:val="00770ABE"/>
    <w:rsid w:val="00772FFB"/>
    <w:rsid w:val="00773257"/>
    <w:rsid w:val="0077491C"/>
    <w:rsid w:val="00784301"/>
    <w:rsid w:val="00787F66"/>
    <w:rsid w:val="00794956"/>
    <w:rsid w:val="007A1953"/>
    <w:rsid w:val="007A2BDA"/>
    <w:rsid w:val="007C5AAD"/>
    <w:rsid w:val="007E029F"/>
    <w:rsid w:val="007E0349"/>
    <w:rsid w:val="007E613D"/>
    <w:rsid w:val="00804F38"/>
    <w:rsid w:val="0080688F"/>
    <w:rsid w:val="0082255A"/>
    <w:rsid w:val="00823873"/>
    <w:rsid w:val="00830D63"/>
    <w:rsid w:val="00832C11"/>
    <w:rsid w:val="008335D4"/>
    <w:rsid w:val="00833A3D"/>
    <w:rsid w:val="008508D4"/>
    <w:rsid w:val="00862E29"/>
    <w:rsid w:val="00880000"/>
    <w:rsid w:val="00884A42"/>
    <w:rsid w:val="008870E0"/>
    <w:rsid w:val="00893A78"/>
    <w:rsid w:val="008959AE"/>
    <w:rsid w:val="008967D5"/>
    <w:rsid w:val="008A1A39"/>
    <w:rsid w:val="008A3204"/>
    <w:rsid w:val="008A7EB5"/>
    <w:rsid w:val="008C24D9"/>
    <w:rsid w:val="008C3798"/>
    <w:rsid w:val="008C7FFE"/>
    <w:rsid w:val="008D046C"/>
    <w:rsid w:val="008D46AF"/>
    <w:rsid w:val="008D55C3"/>
    <w:rsid w:val="008D62EF"/>
    <w:rsid w:val="008E1799"/>
    <w:rsid w:val="00903778"/>
    <w:rsid w:val="00916FEE"/>
    <w:rsid w:val="00917A87"/>
    <w:rsid w:val="009216B6"/>
    <w:rsid w:val="009230B1"/>
    <w:rsid w:val="009349C6"/>
    <w:rsid w:val="0093760C"/>
    <w:rsid w:val="00942456"/>
    <w:rsid w:val="009474A1"/>
    <w:rsid w:val="009600E9"/>
    <w:rsid w:val="009614EF"/>
    <w:rsid w:val="00962222"/>
    <w:rsid w:val="00967669"/>
    <w:rsid w:val="0096792B"/>
    <w:rsid w:val="009771A7"/>
    <w:rsid w:val="00983BCB"/>
    <w:rsid w:val="0098676C"/>
    <w:rsid w:val="0099384C"/>
    <w:rsid w:val="0099697F"/>
    <w:rsid w:val="009A3003"/>
    <w:rsid w:val="009C1DDE"/>
    <w:rsid w:val="009D6659"/>
    <w:rsid w:val="009E2CCA"/>
    <w:rsid w:val="009F5539"/>
    <w:rsid w:val="00A17CBA"/>
    <w:rsid w:val="00A37F12"/>
    <w:rsid w:val="00A40ADD"/>
    <w:rsid w:val="00A56BE9"/>
    <w:rsid w:val="00A67E18"/>
    <w:rsid w:val="00A710D9"/>
    <w:rsid w:val="00AB777B"/>
    <w:rsid w:val="00AC0335"/>
    <w:rsid w:val="00AC28E1"/>
    <w:rsid w:val="00AC5409"/>
    <w:rsid w:val="00AC6A26"/>
    <w:rsid w:val="00AD2A05"/>
    <w:rsid w:val="00AD5242"/>
    <w:rsid w:val="00B035B3"/>
    <w:rsid w:val="00B12551"/>
    <w:rsid w:val="00B1769D"/>
    <w:rsid w:val="00B3274F"/>
    <w:rsid w:val="00B41023"/>
    <w:rsid w:val="00B4256C"/>
    <w:rsid w:val="00B601FA"/>
    <w:rsid w:val="00B6038B"/>
    <w:rsid w:val="00B639C7"/>
    <w:rsid w:val="00B720D2"/>
    <w:rsid w:val="00B77B35"/>
    <w:rsid w:val="00B91886"/>
    <w:rsid w:val="00B92778"/>
    <w:rsid w:val="00BA0D0D"/>
    <w:rsid w:val="00BA2389"/>
    <w:rsid w:val="00BA34EB"/>
    <w:rsid w:val="00BA705D"/>
    <w:rsid w:val="00BB4ABE"/>
    <w:rsid w:val="00BC1092"/>
    <w:rsid w:val="00BD387C"/>
    <w:rsid w:val="00BD456C"/>
    <w:rsid w:val="00BD79CD"/>
    <w:rsid w:val="00BE7722"/>
    <w:rsid w:val="00BF6FAB"/>
    <w:rsid w:val="00C04C11"/>
    <w:rsid w:val="00C06CC5"/>
    <w:rsid w:val="00C15981"/>
    <w:rsid w:val="00C22CA3"/>
    <w:rsid w:val="00C25821"/>
    <w:rsid w:val="00C52CC6"/>
    <w:rsid w:val="00C65B02"/>
    <w:rsid w:val="00C668FE"/>
    <w:rsid w:val="00C75309"/>
    <w:rsid w:val="00C75B14"/>
    <w:rsid w:val="00C77140"/>
    <w:rsid w:val="00C803FC"/>
    <w:rsid w:val="00C837CF"/>
    <w:rsid w:val="00C84A03"/>
    <w:rsid w:val="00C8764D"/>
    <w:rsid w:val="00C92FC4"/>
    <w:rsid w:val="00C95C56"/>
    <w:rsid w:val="00CA2557"/>
    <w:rsid w:val="00D013EE"/>
    <w:rsid w:val="00D072E7"/>
    <w:rsid w:val="00D2498A"/>
    <w:rsid w:val="00D25F17"/>
    <w:rsid w:val="00D33EE6"/>
    <w:rsid w:val="00D370A6"/>
    <w:rsid w:val="00D45BD5"/>
    <w:rsid w:val="00D46576"/>
    <w:rsid w:val="00D72293"/>
    <w:rsid w:val="00D76289"/>
    <w:rsid w:val="00D84542"/>
    <w:rsid w:val="00D85191"/>
    <w:rsid w:val="00D872CD"/>
    <w:rsid w:val="00D921CC"/>
    <w:rsid w:val="00DA1A96"/>
    <w:rsid w:val="00DA434B"/>
    <w:rsid w:val="00DA7DFB"/>
    <w:rsid w:val="00DB773F"/>
    <w:rsid w:val="00DC7A61"/>
    <w:rsid w:val="00DD06B2"/>
    <w:rsid w:val="00DE4C99"/>
    <w:rsid w:val="00DF56C3"/>
    <w:rsid w:val="00E04531"/>
    <w:rsid w:val="00E128E6"/>
    <w:rsid w:val="00E12B43"/>
    <w:rsid w:val="00E1371A"/>
    <w:rsid w:val="00E20429"/>
    <w:rsid w:val="00E36EAC"/>
    <w:rsid w:val="00E41D74"/>
    <w:rsid w:val="00E608A9"/>
    <w:rsid w:val="00E647AA"/>
    <w:rsid w:val="00E6536B"/>
    <w:rsid w:val="00E664F8"/>
    <w:rsid w:val="00E74B36"/>
    <w:rsid w:val="00E778F2"/>
    <w:rsid w:val="00E8446A"/>
    <w:rsid w:val="00E852C1"/>
    <w:rsid w:val="00E970FB"/>
    <w:rsid w:val="00E97AEA"/>
    <w:rsid w:val="00EA605E"/>
    <w:rsid w:val="00EC62F9"/>
    <w:rsid w:val="00ED7C51"/>
    <w:rsid w:val="00EE0C22"/>
    <w:rsid w:val="00EE4988"/>
    <w:rsid w:val="00EE69CC"/>
    <w:rsid w:val="00EF7B49"/>
    <w:rsid w:val="00F06389"/>
    <w:rsid w:val="00F12DA6"/>
    <w:rsid w:val="00F148A3"/>
    <w:rsid w:val="00F157A7"/>
    <w:rsid w:val="00F178C2"/>
    <w:rsid w:val="00F40729"/>
    <w:rsid w:val="00F42A57"/>
    <w:rsid w:val="00F55FA7"/>
    <w:rsid w:val="00F6205F"/>
    <w:rsid w:val="00F622B3"/>
    <w:rsid w:val="00F75944"/>
    <w:rsid w:val="00F763DD"/>
    <w:rsid w:val="00F77DE6"/>
    <w:rsid w:val="00F84CB3"/>
    <w:rsid w:val="00F84E16"/>
    <w:rsid w:val="00F90DC9"/>
    <w:rsid w:val="00F91445"/>
    <w:rsid w:val="00FA1A16"/>
    <w:rsid w:val="00FA24AB"/>
    <w:rsid w:val="00FA3FDE"/>
    <w:rsid w:val="00FC28C2"/>
    <w:rsid w:val="00FC7F4B"/>
    <w:rsid w:val="00FD194C"/>
    <w:rsid w:val="00FD64E2"/>
    <w:rsid w:val="00FD6D54"/>
    <w:rsid w:val="00FD6E83"/>
    <w:rsid w:val="00FD7318"/>
    <w:rsid w:val="00FE18FE"/>
    <w:rsid w:val="00FF4D24"/>
    <w:rsid w:val="00F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9C11"/>
  <w15:docId w15:val="{64C645FA-566C-41A3-AA62-57924DFB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D6659"/>
  </w:style>
  <w:style w:type="paragraph" w:styleId="3">
    <w:name w:val="heading 3"/>
    <w:basedOn w:val="a"/>
    <w:link w:val="30"/>
    <w:uiPriority w:val="9"/>
    <w:qFormat/>
    <w:rsid w:val="00426F1B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E137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E1371A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E1371A"/>
  </w:style>
  <w:style w:type="paragraph" w:customStyle="1" w:styleId="TableParagraph">
    <w:name w:val="Table Paragraph"/>
    <w:basedOn w:val="a"/>
    <w:uiPriority w:val="1"/>
    <w:qFormat/>
    <w:rsid w:val="00E1371A"/>
  </w:style>
  <w:style w:type="paragraph" w:styleId="a5">
    <w:name w:val="Balloon Text"/>
    <w:basedOn w:val="a"/>
    <w:link w:val="a6"/>
    <w:uiPriority w:val="99"/>
    <w:semiHidden/>
    <w:unhideWhenUsed/>
    <w:rsid w:val="002C72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728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92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B639C7"/>
    <w:pPr>
      <w:widowControl/>
      <w:autoSpaceDE/>
      <w:autoSpaceDN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artintro">
    <w:name w:val="b-art__intro"/>
    <w:basedOn w:val="a"/>
    <w:rsid w:val="001A6B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indent">
    <w:name w:val="indent"/>
    <w:basedOn w:val="a"/>
    <w:rsid w:val="001A6B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1A6BCB"/>
    <w:rPr>
      <w:b/>
      <w:bCs/>
    </w:rPr>
  </w:style>
  <w:style w:type="paragraph" w:customStyle="1" w:styleId="rvps2">
    <w:name w:val="rvps2"/>
    <w:basedOn w:val="a"/>
    <w:rsid w:val="00BA0D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426F1B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9">
    <w:name w:val="Hyperlink"/>
    <w:basedOn w:val="a0"/>
    <w:uiPriority w:val="99"/>
    <w:unhideWhenUsed/>
    <w:rsid w:val="00761A1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61A1E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64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87ED8-E453-442E-89B8-DFECF962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1522</Words>
  <Characters>8677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~ai-76de5936-c959-4485-9046-0ea4b867e126_</vt:lpstr>
      <vt:lpstr>~ai-76de5936-c959-4485-9046-0ea4b867e126_</vt:lpstr>
    </vt:vector>
  </TitlesOfParts>
  <Company>RePack by SPecialiST</Company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~ai-76de5936-c959-4485-9046-0ea4b867e126_</dc:title>
  <dc:creator>Александр Васильченко</dc:creator>
  <cp:lastModifiedBy>User</cp:lastModifiedBy>
  <cp:revision>16</cp:revision>
  <cp:lastPrinted>2025-05-06T11:57:00Z</cp:lastPrinted>
  <dcterms:created xsi:type="dcterms:W3CDTF">2025-05-05T11:27:00Z</dcterms:created>
  <dcterms:modified xsi:type="dcterms:W3CDTF">2025-05-06T12:09:00Z</dcterms:modified>
</cp:coreProperties>
</file>