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CC3984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334319267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334319267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C3984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CC3984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2520D92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984">
        <w:rPr>
          <w:b/>
          <w:bCs/>
          <w:i w:val="0"/>
          <w:iCs w:val="0"/>
          <w:sz w:val="24"/>
          <w:szCs w:val="24"/>
          <w:lang w:val="ru-RU"/>
        </w:rPr>
        <w:t xml:space="preserve">№ ПЗН-63525 </w:t>
      </w:r>
      <w:proofErr w:type="spellStart"/>
      <w:r w:rsidRPr="00CC3984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CC3984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CC3984">
        <w:rPr>
          <w:b/>
          <w:bCs/>
          <w:i w:val="0"/>
          <w:sz w:val="24"/>
          <w:szCs w:val="24"/>
          <w:lang w:val="ru-RU"/>
        </w:rPr>
        <w:t>12.03.2024</w:t>
      </w:r>
    </w:p>
    <w:p w14:paraId="1B663883" w14:textId="77777777" w:rsidR="00B30291" w:rsidRPr="00CC3984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CC3984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CC3984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CC3984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CC3984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CC3984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CC3984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CC3984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CC3984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CC3984">
        <w:rPr>
          <w:i w:val="0"/>
          <w:iCs w:val="0"/>
          <w:sz w:val="24"/>
          <w:szCs w:val="24"/>
          <w:lang w:val="ru-RU"/>
        </w:rPr>
        <w:t xml:space="preserve"> ради</w:t>
      </w:r>
      <w:r w:rsidRPr="00CC3984">
        <w:rPr>
          <w:i w:val="0"/>
          <w:sz w:val="24"/>
          <w:szCs w:val="24"/>
          <w:lang w:val="ru-RU"/>
        </w:rPr>
        <w:t>:</w:t>
      </w:r>
    </w:p>
    <w:p w14:paraId="4A04B8A4" w14:textId="7DDE276B" w:rsidR="00B30291" w:rsidRDefault="00B30291" w:rsidP="00CC3984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CC3984" w:rsidRPr="00CC3984">
        <w:rPr>
          <w:rFonts w:eastAsia="Georgia"/>
          <w:b/>
          <w:i/>
          <w:iCs/>
          <w:sz w:val="24"/>
          <w:szCs w:val="24"/>
          <w:lang w:val="uk-UA"/>
        </w:rPr>
        <w:t>надання комунальному некомерційному підприємству «ДЕРМАТОВЕНЕРОЛОГІЯ» виконавчого органу Київської міської ради (Київської міської державної адміністрації) земельної ділянки в постійне користування для експлуатації та обслуговування будівель і споруд диспансеру на вул. Лукаша Миколи, 48 у Солом’янському районі міста Києва</w:t>
      </w:r>
    </w:p>
    <w:p w14:paraId="123135CF" w14:textId="77777777" w:rsidR="00CC3984" w:rsidRPr="00581A44" w:rsidRDefault="00CC3984" w:rsidP="00CC3984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073295AC" w:rsidR="00B30291" w:rsidRPr="00AC6C1F" w:rsidRDefault="00B30291" w:rsidP="00CC39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К</w:t>
            </w:r>
            <w:r w:rsidR="00CC3984" w:rsidRPr="00CC3984">
              <w:rPr>
                <w:b w:val="0"/>
                <w:i/>
                <w:sz w:val="24"/>
                <w:szCs w:val="24"/>
              </w:rPr>
              <w:t>омунальн</w:t>
            </w:r>
            <w:proofErr w:type="spellEnd"/>
            <w:r w:rsidR="00CC3984">
              <w:rPr>
                <w:b w:val="0"/>
                <w:i/>
                <w:sz w:val="24"/>
                <w:szCs w:val="24"/>
                <w:lang w:val="uk-UA"/>
              </w:rPr>
              <w:t>е</w:t>
            </w:r>
            <w:r w:rsidR="00CC3984" w:rsidRPr="00CC3984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CC3984" w:rsidRPr="00CC3984">
              <w:rPr>
                <w:b w:val="0"/>
                <w:i/>
                <w:sz w:val="24"/>
                <w:szCs w:val="24"/>
              </w:rPr>
              <w:t>некомерційн</w:t>
            </w:r>
            <w:proofErr w:type="spellEnd"/>
            <w:r w:rsidR="00CC3984">
              <w:rPr>
                <w:b w:val="0"/>
                <w:i/>
                <w:sz w:val="24"/>
                <w:szCs w:val="24"/>
                <w:lang w:val="uk-UA"/>
              </w:rPr>
              <w:t>е</w:t>
            </w:r>
            <w:r w:rsidR="00CC3984" w:rsidRPr="00CC3984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CC3984" w:rsidRPr="00CC3984">
              <w:rPr>
                <w:b w:val="0"/>
                <w:i/>
                <w:sz w:val="24"/>
                <w:szCs w:val="24"/>
              </w:rPr>
              <w:t>підприємств</w:t>
            </w:r>
            <w:proofErr w:type="spellEnd"/>
            <w:r w:rsidR="00CC3984">
              <w:rPr>
                <w:b w:val="0"/>
                <w:i/>
                <w:sz w:val="24"/>
                <w:szCs w:val="24"/>
                <w:lang w:val="uk-UA"/>
              </w:rPr>
              <w:t>о</w:t>
            </w:r>
            <w:r w:rsidR="00CC3984" w:rsidRPr="00CC3984">
              <w:rPr>
                <w:b w:val="0"/>
                <w:i/>
                <w:sz w:val="24"/>
                <w:szCs w:val="24"/>
              </w:rPr>
              <w:t xml:space="preserve"> «ДЕРМАТОВЕНЕРОЛОГІЯ» </w:t>
            </w:r>
            <w:proofErr w:type="spellStart"/>
            <w:r w:rsidR="00CC3984" w:rsidRPr="00CC3984">
              <w:rPr>
                <w:b w:val="0"/>
                <w:i/>
                <w:sz w:val="24"/>
                <w:szCs w:val="24"/>
              </w:rPr>
              <w:t>виконавчого</w:t>
            </w:r>
            <w:proofErr w:type="spellEnd"/>
            <w:r w:rsidR="00CC3984" w:rsidRPr="00CC3984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CC3984" w:rsidRPr="00CC3984">
              <w:rPr>
                <w:b w:val="0"/>
                <w:i/>
                <w:sz w:val="24"/>
                <w:szCs w:val="24"/>
              </w:rPr>
              <w:t>органу</w:t>
            </w:r>
            <w:proofErr w:type="spellEnd"/>
            <w:r w:rsidR="00CC3984" w:rsidRPr="00CC3984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CC3984" w:rsidRPr="00CC3984">
              <w:rPr>
                <w:b w:val="0"/>
                <w:i/>
                <w:sz w:val="24"/>
                <w:szCs w:val="24"/>
              </w:rPr>
              <w:t>Київської</w:t>
            </w:r>
            <w:proofErr w:type="spellEnd"/>
            <w:r w:rsidR="00CC3984" w:rsidRPr="00CC3984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CC3984" w:rsidRPr="00CC3984">
              <w:rPr>
                <w:b w:val="0"/>
                <w:i/>
                <w:sz w:val="24"/>
                <w:szCs w:val="24"/>
              </w:rPr>
              <w:t>міської</w:t>
            </w:r>
            <w:proofErr w:type="spellEnd"/>
            <w:r w:rsidR="00CC3984" w:rsidRPr="00CC3984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CC3984" w:rsidRPr="00CC3984">
              <w:rPr>
                <w:b w:val="0"/>
                <w:i/>
                <w:sz w:val="24"/>
                <w:szCs w:val="24"/>
              </w:rPr>
              <w:t>ради</w:t>
            </w:r>
            <w:proofErr w:type="spellEnd"/>
            <w:r w:rsidR="00CC3984" w:rsidRPr="00CC3984">
              <w:rPr>
                <w:b w:val="0"/>
                <w:i/>
                <w:sz w:val="24"/>
                <w:szCs w:val="24"/>
              </w:rPr>
              <w:t xml:space="preserve"> (</w:t>
            </w:r>
            <w:proofErr w:type="spellStart"/>
            <w:r w:rsidR="00CC3984" w:rsidRPr="00CC3984">
              <w:rPr>
                <w:b w:val="0"/>
                <w:i/>
                <w:sz w:val="24"/>
                <w:szCs w:val="24"/>
              </w:rPr>
              <w:t>Київської</w:t>
            </w:r>
            <w:proofErr w:type="spellEnd"/>
            <w:r w:rsidR="00CC3984" w:rsidRPr="00CC3984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CC3984" w:rsidRPr="00CC3984">
              <w:rPr>
                <w:b w:val="0"/>
                <w:i/>
                <w:sz w:val="24"/>
                <w:szCs w:val="24"/>
              </w:rPr>
              <w:t>м</w:t>
            </w:r>
            <w:r w:rsidR="00CC3984">
              <w:rPr>
                <w:b w:val="0"/>
                <w:i/>
                <w:sz w:val="24"/>
                <w:szCs w:val="24"/>
              </w:rPr>
              <w:t>іської</w:t>
            </w:r>
            <w:proofErr w:type="spellEnd"/>
            <w:r w:rsidR="00CC3984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CC3984">
              <w:rPr>
                <w:b w:val="0"/>
                <w:i/>
                <w:sz w:val="24"/>
                <w:szCs w:val="24"/>
              </w:rPr>
              <w:t>державної</w:t>
            </w:r>
            <w:proofErr w:type="spellEnd"/>
            <w:r w:rsidR="00CC3984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="00CC3984">
              <w:rPr>
                <w:b w:val="0"/>
                <w:i/>
                <w:sz w:val="24"/>
                <w:szCs w:val="24"/>
              </w:rPr>
              <w:t>адміністрації</w:t>
            </w:r>
            <w:proofErr w:type="spellEnd"/>
            <w:r w:rsidR="00CC3984">
              <w:rPr>
                <w:b w:val="0"/>
                <w:i/>
                <w:sz w:val="24"/>
                <w:szCs w:val="24"/>
              </w:rPr>
              <w:t>)</w:t>
            </w:r>
          </w:p>
        </w:tc>
      </w:tr>
      <w:tr w:rsidR="00B30291" w:rsidRPr="00CF2418" w14:paraId="5DC74608" w14:textId="77777777" w:rsidTr="00CC3984">
        <w:trPr>
          <w:cantSplit/>
          <w:trHeight w:val="746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CC398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13203DFE" w:rsidR="00B30291" w:rsidRPr="00AC6C1F" w:rsidRDefault="00D77F52" w:rsidP="00CC3984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2BB56958" w14:textId="77777777" w:rsidR="00CC3984" w:rsidRPr="00E15F49" w:rsidRDefault="00CC3984" w:rsidP="00CC39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15F49">
              <w:rPr>
                <w:b w:val="0"/>
                <w:i/>
                <w:sz w:val="24"/>
                <w:szCs w:val="24"/>
                <w:lang w:val="ru-RU"/>
              </w:rPr>
              <w:t>КИЇВСЬКА МІСЬКА РАДА</w:t>
            </w:r>
          </w:p>
          <w:p w14:paraId="15C91214" w14:textId="69972537" w:rsidR="00B30291" w:rsidRPr="00AC6C1F" w:rsidRDefault="00CC3984" w:rsidP="00CC3984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E15F49">
              <w:rPr>
                <w:b w:val="0"/>
                <w:i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E15F49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E15F49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5F49">
              <w:rPr>
                <w:b w:val="0"/>
                <w:i/>
                <w:sz w:val="24"/>
                <w:szCs w:val="24"/>
                <w:lang w:val="ru-RU"/>
              </w:rPr>
              <w:t>Шевченківський</w:t>
            </w:r>
            <w:proofErr w:type="spellEnd"/>
            <w:r w:rsidRPr="00E15F49">
              <w:rPr>
                <w:b w:val="0"/>
                <w:i/>
                <w:sz w:val="24"/>
                <w:szCs w:val="24"/>
                <w:lang w:val="ru-RU"/>
              </w:rPr>
              <w:t xml:space="preserve"> район, ВУЛИЦЯ ХРЕЩАТИК, </w:t>
            </w:r>
            <w:proofErr w:type="spellStart"/>
            <w:r w:rsidRPr="00E15F49">
              <w:rPr>
                <w:b w:val="0"/>
                <w:i/>
                <w:sz w:val="24"/>
                <w:szCs w:val="24"/>
                <w:lang w:val="ru-RU"/>
              </w:rPr>
              <w:t>будинок</w:t>
            </w:r>
            <w:proofErr w:type="spellEnd"/>
            <w:r w:rsidRPr="00E15F49">
              <w:rPr>
                <w:b w:val="0"/>
                <w:i/>
                <w:sz w:val="24"/>
                <w:szCs w:val="24"/>
                <w:lang w:val="ru-RU"/>
              </w:rPr>
              <w:t xml:space="preserve"> 36</w:t>
            </w:r>
          </w:p>
        </w:tc>
      </w:tr>
      <w:tr w:rsidR="00B30291" w:rsidRPr="00CF2418" w14:paraId="18172CC5" w14:textId="77777777" w:rsidTr="00CC3984">
        <w:trPr>
          <w:cantSplit/>
          <w:trHeight w:val="475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32FC22B9" w:rsidR="00B30291" w:rsidRPr="00B30291" w:rsidRDefault="00D77F52" w:rsidP="00CC3984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26.02.2024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334319267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CC3984">
        <w:rPr>
          <w:sz w:val="24"/>
          <w:szCs w:val="24"/>
          <w:lang w:val="ru-RU"/>
        </w:rPr>
        <w:t>8000000000:72:063:0012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CC3984">
        <w:trPr>
          <w:trHeight w:hRule="exact" w:val="345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2A7BFAFA" w:rsidR="00B30291" w:rsidRPr="00AC6C1F" w:rsidRDefault="00B30291" w:rsidP="00CC3984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CC3984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CC3984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CC3984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CC3984">
              <w:rPr>
                <w:i/>
                <w:iCs/>
                <w:sz w:val="24"/>
                <w:szCs w:val="24"/>
                <w:lang w:val="ru-RU"/>
              </w:rPr>
              <w:t>Солом'янський</w:t>
            </w:r>
            <w:proofErr w:type="spellEnd"/>
            <w:r w:rsidRPr="00CC3984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3984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CC3984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r w:rsidR="00CC3984">
              <w:rPr>
                <w:i/>
                <w:iCs/>
                <w:sz w:val="24"/>
                <w:szCs w:val="24"/>
                <w:lang w:val="ru-RU"/>
              </w:rPr>
              <w:t xml:space="preserve">Лукаша </w:t>
            </w:r>
            <w:proofErr w:type="spellStart"/>
            <w:r w:rsidR="00CC3984">
              <w:rPr>
                <w:i/>
                <w:iCs/>
                <w:sz w:val="24"/>
                <w:szCs w:val="24"/>
                <w:lang w:val="ru-RU"/>
              </w:rPr>
              <w:t>Миколи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48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0,5468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CC3984">
        <w:trPr>
          <w:trHeight w:hRule="exact" w:val="440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CC3984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="00B30291" w:rsidRPr="00CC3984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CC3984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CC3984">
        <w:trPr>
          <w:trHeight w:hRule="exact" w:val="417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D8F1A60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CC3984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CC3984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CC3984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CC3984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CC3984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CC3984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CC3984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CC3984">
        <w:trPr>
          <w:trHeight w:hRule="exact" w:val="1146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0B4D8D40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CC3984">
              <w:rPr>
                <w:i/>
                <w:sz w:val="24"/>
                <w:szCs w:val="24"/>
                <w:highlight w:val="white"/>
                <w:lang w:val="uk-UA"/>
              </w:rPr>
              <w:t>03.03</w:t>
            </w:r>
            <w:r w:rsidRPr="00CC3984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закладів охорони здоров'я та соціальної допомоги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CC3984" w:rsidRPr="00CC3984">
              <w:rPr>
                <w:rStyle w:val="ac"/>
                <w:sz w:val="24"/>
                <w:szCs w:val="24"/>
                <w:lang w:val="uk-UA"/>
              </w:rPr>
              <w:t>для експлуатації та обслуговування будівель і споруд диспансеру</w:t>
            </w:r>
            <w:r w:rsidR="006A34C6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CC398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CC398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CC398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CC398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CC398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CC398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CC398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CC398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CC3984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68F7BFD6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E15F49" w:rsidRPr="00E15F49">
              <w:rPr>
                <w:rStyle w:val="ac"/>
                <w:b/>
                <w:sz w:val="24"/>
                <w:szCs w:val="24"/>
                <w:lang w:val="ru-RU"/>
              </w:rPr>
              <w:t>17 987</w:t>
            </w:r>
            <w:r w:rsidR="00E15F49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E15F49" w:rsidRPr="00E15F49">
              <w:rPr>
                <w:rStyle w:val="ac"/>
                <w:b/>
                <w:sz w:val="24"/>
                <w:szCs w:val="24"/>
                <w:lang w:val="ru-RU"/>
              </w:rPr>
              <w:t>737</w:t>
            </w:r>
            <w:r w:rsidR="00E15F49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E15F49" w:rsidRPr="00E15F49">
              <w:rPr>
                <w:rStyle w:val="ac"/>
                <w:b/>
                <w:sz w:val="24"/>
                <w:szCs w:val="24"/>
              </w:rPr>
              <w:t>09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76FA6C7D" w14:textId="77777777" w:rsidR="00CC3984" w:rsidRPr="0082720D" w:rsidRDefault="00CC3984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12"/>
          <w:szCs w:val="12"/>
          <w:lang w:val="uk-UA"/>
        </w:rPr>
      </w:pPr>
    </w:p>
    <w:p w14:paraId="54F7E262" w14:textId="77777777" w:rsidR="00CC3984" w:rsidRPr="00BC4E9C" w:rsidRDefault="00CC3984" w:rsidP="00CC3984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BC4E9C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4B4A949" w14:textId="77777777" w:rsidR="00CC3984" w:rsidRPr="00BC4E9C" w:rsidRDefault="00CC3984" w:rsidP="00CC398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BC4E9C">
        <w:rPr>
          <w:i w:val="0"/>
          <w:sz w:val="24"/>
          <w:szCs w:val="24"/>
          <w:lang w:val="uk-U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BC4E9C">
        <w:rPr>
          <w:i w:val="0"/>
          <w:sz w:val="24"/>
          <w:szCs w:val="24"/>
          <w:lang w:val="uk-UA"/>
        </w:rPr>
        <w:t>проєкт</w:t>
      </w:r>
      <w:proofErr w:type="spellEnd"/>
      <w:r w:rsidRPr="00BC4E9C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50C8249F" w14:textId="77777777" w:rsidR="00CC3984" w:rsidRPr="0082720D" w:rsidRDefault="00CC3984" w:rsidP="00CC3984">
      <w:pPr>
        <w:pStyle w:val="1"/>
        <w:shd w:val="clear" w:color="auto" w:fill="auto"/>
        <w:ind w:firstLine="567"/>
        <w:jc w:val="both"/>
        <w:rPr>
          <w:b/>
          <w:bCs/>
          <w:i w:val="0"/>
          <w:sz w:val="12"/>
          <w:szCs w:val="12"/>
          <w:lang w:val="uk-UA"/>
        </w:rPr>
      </w:pPr>
    </w:p>
    <w:p w14:paraId="2931D3BC" w14:textId="77777777" w:rsidR="00CC3984" w:rsidRPr="00BC4E9C" w:rsidRDefault="00CC3984" w:rsidP="00CC398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7794A351" w14:textId="77777777" w:rsidR="00CC3984" w:rsidRPr="00BC4E9C" w:rsidRDefault="00CC3984" w:rsidP="00CC398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1C4A5A55" w14:textId="77777777" w:rsidR="00CC3984" w:rsidRPr="0082720D" w:rsidRDefault="00CC3984" w:rsidP="00CC3984">
      <w:pPr>
        <w:pStyle w:val="1"/>
        <w:shd w:val="clear" w:color="auto" w:fill="auto"/>
        <w:ind w:firstLine="567"/>
        <w:jc w:val="both"/>
        <w:rPr>
          <w:sz w:val="12"/>
          <w:szCs w:val="12"/>
          <w:lang w:val="uk-UA"/>
        </w:rPr>
      </w:pPr>
    </w:p>
    <w:p w14:paraId="6B7824C0" w14:textId="77777777" w:rsidR="00CC3984" w:rsidRPr="00BC4E9C" w:rsidRDefault="00CC3984" w:rsidP="00CC3984">
      <w:pPr>
        <w:pStyle w:val="a7"/>
        <w:shd w:val="clear" w:color="auto" w:fill="auto"/>
        <w:ind w:firstLine="567"/>
        <w:rPr>
          <w:sz w:val="24"/>
          <w:szCs w:val="24"/>
          <w:lang w:val="uk-UA"/>
        </w:rPr>
      </w:pPr>
      <w:r w:rsidRPr="00BC4E9C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CC3984" w:rsidRPr="00BC4E9C" w14:paraId="64C59773" w14:textId="77777777" w:rsidTr="00B85032">
        <w:tc>
          <w:tcPr>
            <w:tcW w:w="3260" w:type="dxa"/>
          </w:tcPr>
          <w:p w14:paraId="7B26CA97" w14:textId="77777777" w:rsidR="00CC3984" w:rsidRPr="00BC4E9C" w:rsidRDefault="00CC3984" w:rsidP="00B85032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1A36F1FA" w14:textId="77777777" w:rsidR="00CC3984" w:rsidRPr="00BC4E9C" w:rsidRDefault="00CC3984" w:rsidP="00B85032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48EDC5AF" w14:textId="37E1AF24" w:rsidR="00CC3984" w:rsidRPr="00BC4E9C" w:rsidRDefault="00CC3984" w:rsidP="00E9746A">
            <w:pPr>
              <w:spacing w:line="228" w:lineRule="auto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4E9C">
              <w:rPr>
                <w:rFonts w:ascii="Times New Roman" w:hAnsi="Times New Roman" w:cs="Times New Roman"/>
                <w:i/>
              </w:rPr>
              <w:t>На земельній ділянці розташован</w:t>
            </w:r>
            <w:r>
              <w:rPr>
                <w:rFonts w:ascii="Times New Roman" w:hAnsi="Times New Roman" w:cs="Times New Roman"/>
                <w:i/>
              </w:rPr>
              <w:t xml:space="preserve">і нежитлові будівлі (шкірно-венерологічний диспансер) загальною площею 1348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м</w:t>
            </w:r>
            <w:r w:rsidRPr="00BC4E9C">
              <w:rPr>
                <w:rFonts w:ascii="Times New Roman" w:hAnsi="Times New Roman" w:cs="Times New Roman"/>
                <w:i/>
              </w:rPr>
              <w:t>, як</w:t>
            </w:r>
            <w:r>
              <w:rPr>
                <w:rFonts w:ascii="Times New Roman" w:hAnsi="Times New Roman" w:cs="Times New Roman"/>
                <w:i/>
              </w:rPr>
              <w:t>і</w:t>
            </w:r>
            <w:r w:rsidRPr="00BC4E9C">
              <w:rPr>
                <w:rFonts w:ascii="Times New Roman" w:hAnsi="Times New Roman" w:cs="Times New Roman"/>
                <w:i/>
              </w:rPr>
              <w:t xml:space="preserve"> перебува</w:t>
            </w:r>
            <w:r>
              <w:rPr>
                <w:rFonts w:ascii="Times New Roman" w:hAnsi="Times New Roman" w:cs="Times New Roman"/>
                <w:i/>
              </w:rPr>
              <w:t>ють</w:t>
            </w:r>
            <w:r w:rsidRPr="00BC4E9C">
              <w:rPr>
                <w:rFonts w:ascii="Times New Roman" w:hAnsi="Times New Roman" w:cs="Times New Roman"/>
                <w:i/>
              </w:rPr>
              <w:t xml:space="preserve"> у </w:t>
            </w:r>
            <w:r>
              <w:rPr>
                <w:rFonts w:ascii="Times New Roman" w:hAnsi="Times New Roman" w:cs="Times New Roman"/>
                <w:i/>
              </w:rPr>
              <w:t>комунальній власності  територіальної громади міста Києва</w:t>
            </w:r>
            <w:r w:rsidRPr="00BC4E9C">
              <w:rPr>
                <w:rFonts w:ascii="Times New Roman" w:hAnsi="Times New Roman" w:cs="Times New Roman"/>
                <w:i/>
              </w:rPr>
              <w:t xml:space="preserve"> (п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 xml:space="preserve">раво власності зареєстровано у Державному реєстрі речових прав на 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нерухоме майно </w:t>
            </w:r>
            <w:r>
              <w:rPr>
                <w:rFonts w:ascii="Times New Roman" w:eastAsia="Times New Roman" w:hAnsi="Times New Roman" w:cs="Times New Roman"/>
                <w:i/>
              </w:rPr>
              <w:t>28.03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2018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 xml:space="preserve">, номер відомостей про речове право </w:t>
            </w:r>
            <w:r>
              <w:rPr>
                <w:rFonts w:ascii="Times New Roman" w:eastAsia="Times New Roman" w:hAnsi="Times New Roman" w:cs="Times New Roman"/>
                <w:i/>
              </w:rPr>
              <w:t>26012512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та на підставі наказу </w:t>
            </w:r>
            <w:r w:rsidRPr="00CC3984">
              <w:rPr>
                <w:rFonts w:ascii="Times New Roman" w:eastAsia="Times New Roman" w:hAnsi="Times New Roman" w:cs="Times New Roman"/>
                <w:i/>
              </w:rPr>
              <w:t>Департаменту комунальної власності м. Києва виконавчого органу Київської міської ради (Київської міської державної адміністрації) від 10</w:t>
            </w:r>
            <w:r>
              <w:rPr>
                <w:rFonts w:ascii="Times New Roman" w:eastAsia="Times New Roman" w:hAnsi="Times New Roman" w:cs="Times New Roman"/>
                <w:i/>
              </w:rPr>
              <w:t>.03.</w:t>
            </w:r>
            <w:r w:rsidRPr="00CC3984">
              <w:rPr>
                <w:rFonts w:ascii="Times New Roman" w:eastAsia="Times New Roman" w:hAnsi="Times New Roman" w:cs="Times New Roman"/>
                <w:i/>
              </w:rPr>
              <w:t xml:space="preserve">2023 № 84 «Про закріплення за комунальним некомерційним підприємством «ДЕРМАТОВЕНЕРОЛОГІЯ» виконавчого органу Київської міської ради (Київської міської державної адміністрації) майна комунальної власності територіальної громади міста Києва» </w:t>
            </w:r>
            <w:r w:rsidR="00E9746A" w:rsidRPr="0059196E">
              <w:rPr>
                <w:rFonts w:ascii="Times New Roman" w:eastAsia="Times New Roman" w:hAnsi="Times New Roman" w:cs="Times New Roman"/>
                <w:i/>
              </w:rPr>
              <w:t>закріплен</w:t>
            </w:r>
            <w:r w:rsidR="00E9746A">
              <w:rPr>
                <w:rFonts w:ascii="Times New Roman" w:eastAsia="Times New Roman" w:hAnsi="Times New Roman" w:cs="Times New Roman"/>
                <w:i/>
              </w:rPr>
              <w:t>і</w:t>
            </w:r>
            <w:r w:rsidR="00E9746A" w:rsidRPr="0059196E">
              <w:rPr>
                <w:rFonts w:ascii="Times New Roman" w:eastAsia="Times New Roman" w:hAnsi="Times New Roman" w:cs="Times New Roman"/>
                <w:i/>
              </w:rPr>
              <w:t xml:space="preserve"> на праві </w:t>
            </w:r>
            <w:r w:rsidR="00E9746A">
              <w:rPr>
                <w:rFonts w:ascii="Times New Roman" w:eastAsia="Times New Roman" w:hAnsi="Times New Roman" w:cs="Times New Roman"/>
                <w:i/>
              </w:rPr>
              <w:t xml:space="preserve">оперативного управління </w:t>
            </w:r>
            <w:r w:rsidR="00E9746A" w:rsidRPr="0059196E">
              <w:rPr>
                <w:rFonts w:ascii="Times New Roman" w:eastAsia="Times New Roman" w:hAnsi="Times New Roman" w:cs="Times New Roman"/>
                <w:i/>
              </w:rPr>
              <w:t>за</w:t>
            </w:r>
            <w:r w:rsidR="00F058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058DD" w:rsidRPr="00CC3984">
              <w:rPr>
                <w:rFonts w:ascii="Times New Roman" w:eastAsia="Times New Roman" w:hAnsi="Times New Roman" w:cs="Times New Roman"/>
                <w:i/>
              </w:rPr>
              <w:t>комунальн</w:t>
            </w:r>
            <w:r w:rsidR="00E9746A">
              <w:rPr>
                <w:rFonts w:ascii="Times New Roman" w:eastAsia="Times New Roman" w:hAnsi="Times New Roman" w:cs="Times New Roman"/>
                <w:i/>
              </w:rPr>
              <w:t>им</w:t>
            </w:r>
            <w:r w:rsidR="00F058DD" w:rsidRPr="00CC3984">
              <w:rPr>
                <w:rFonts w:ascii="Times New Roman" w:eastAsia="Times New Roman" w:hAnsi="Times New Roman" w:cs="Times New Roman"/>
                <w:i/>
              </w:rPr>
              <w:t xml:space="preserve"> некомерційн</w:t>
            </w:r>
            <w:r w:rsidR="00E9746A">
              <w:rPr>
                <w:rFonts w:ascii="Times New Roman" w:eastAsia="Times New Roman" w:hAnsi="Times New Roman" w:cs="Times New Roman"/>
                <w:i/>
              </w:rPr>
              <w:t>им</w:t>
            </w:r>
            <w:r w:rsidR="00F058DD" w:rsidRPr="00CC3984">
              <w:rPr>
                <w:rFonts w:ascii="Times New Roman" w:eastAsia="Times New Roman" w:hAnsi="Times New Roman" w:cs="Times New Roman"/>
                <w:i/>
              </w:rPr>
              <w:t xml:space="preserve"> підприємств</w:t>
            </w:r>
            <w:r w:rsidR="00E9746A">
              <w:rPr>
                <w:rFonts w:ascii="Times New Roman" w:eastAsia="Times New Roman" w:hAnsi="Times New Roman" w:cs="Times New Roman"/>
                <w:i/>
              </w:rPr>
              <w:t>ом</w:t>
            </w:r>
            <w:r w:rsidR="00F058DD" w:rsidRPr="00CC3984">
              <w:rPr>
                <w:rFonts w:ascii="Times New Roman" w:eastAsia="Times New Roman" w:hAnsi="Times New Roman" w:cs="Times New Roman"/>
                <w:i/>
              </w:rPr>
              <w:t xml:space="preserve"> «ДЕРМАТОВЕНЕРОЛОГІЯ» </w:t>
            </w:r>
            <w:r w:rsidR="00F058D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C3984">
              <w:rPr>
                <w:rFonts w:ascii="Times New Roman" w:eastAsia="Times New Roman" w:hAnsi="Times New Roman" w:cs="Times New Roman"/>
                <w:i/>
              </w:rPr>
              <w:t>(право оперативного управління зареєстровано у Державному реєстрі речових прав на нерухоме майно 02</w:t>
            </w:r>
            <w:r>
              <w:rPr>
                <w:rFonts w:ascii="Times New Roman" w:eastAsia="Times New Roman" w:hAnsi="Times New Roman" w:cs="Times New Roman"/>
                <w:i/>
              </w:rPr>
              <w:t>.05.</w:t>
            </w:r>
            <w:r w:rsidRPr="00CC3984">
              <w:rPr>
                <w:rFonts w:ascii="Times New Roman" w:eastAsia="Times New Roman" w:hAnsi="Times New Roman" w:cs="Times New Roman"/>
                <w:i/>
              </w:rPr>
              <w:t>2023, номер запису про інше речове право 50183190)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 xml:space="preserve"> (інформація з Державного реєстру речових прав на нерухоме майно від </w:t>
            </w:r>
            <w:r>
              <w:rPr>
                <w:rFonts w:ascii="Times New Roman" w:eastAsia="Times New Roman" w:hAnsi="Times New Roman" w:cs="Times New Roman"/>
                <w:i/>
              </w:rPr>
              <w:t>07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>.2024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№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368915758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CC3984" w:rsidRPr="00BC4E9C" w14:paraId="77480E97" w14:textId="77777777" w:rsidTr="00B85032">
        <w:trPr>
          <w:cantSplit/>
          <w:trHeight w:val="273"/>
        </w:trPr>
        <w:tc>
          <w:tcPr>
            <w:tcW w:w="3260" w:type="dxa"/>
          </w:tcPr>
          <w:p w14:paraId="0B4FFE8E" w14:textId="77777777" w:rsidR="00CC3984" w:rsidRPr="00BC4E9C" w:rsidRDefault="00CC3984" w:rsidP="00B85032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BC4E9C">
              <w:rPr>
                <w:i w:val="0"/>
                <w:sz w:val="24"/>
                <w:szCs w:val="24"/>
                <w:lang w:val="uk-UA"/>
              </w:rPr>
              <w:lastRenderedPageBreak/>
              <w:t xml:space="preserve"> Наявність ДПТ:</w:t>
            </w:r>
          </w:p>
        </w:tc>
        <w:tc>
          <w:tcPr>
            <w:tcW w:w="6237" w:type="dxa"/>
          </w:tcPr>
          <w:p w14:paraId="16E55705" w14:textId="422E4DED" w:rsidR="00CC3984" w:rsidRPr="00BC4E9C" w:rsidRDefault="00CC3984" w:rsidP="00D3012E">
            <w:pPr>
              <w:spacing w:line="226" w:lineRule="auto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Відповідно до де</w:t>
            </w:r>
            <w:r w:rsidRPr="0026624C">
              <w:rPr>
                <w:rFonts w:ascii="Times New Roman" w:eastAsia="Times New Roman" w:hAnsi="Times New Roman" w:cs="Times New Roman"/>
                <w:i/>
              </w:rPr>
              <w:t>тальн</w:t>
            </w:r>
            <w:r>
              <w:rPr>
                <w:rFonts w:ascii="Times New Roman" w:eastAsia="Times New Roman" w:hAnsi="Times New Roman" w:cs="Times New Roman"/>
                <w:i/>
              </w:rPr>
              <w:t>ого</w:t>
            </w:r>
            <w:r w:rsidRPr="0026624C">
              <w:rPr>
                <w:rFonts w:ascii="Times New Roman" w:eastAsia="Times New Roman" w:hAnsi="Times New Roman" w:cs="Times New Roman"/>
                <w:i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i/>
              </w:rPr>
              <w:t>у</w:t>
            </w:r>
            <w:r w:rsidRPr="0026624C">
              <w:rPr>
                <w:rFonts w:ascii="Times New Roman" w:eastAsia="Times New Roman" w:hAnsi="Times New Roman" w:cs="Times New Roman"/>
                <w:i/>
              </w:rPr>
              <w:t xml:space="preserve"> 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 межах Повітрофлотського проспекту, вулиць 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t>Солом’янської</w:t>
            </w:r>
            <w:r>
              <w:rPr>
                <w:rFonts w:ascii="Times New Roman" w:eastAsia="Times New Roman" w:hAnsi="Times New Roman" w:cs="Times New Roman"/>
                <w:i/>
              </w:rPr>
              <w:t>, Механізаторів, Кудряшова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t xml:space="preserve"> та залізничних колій, </w:t>
            </w:r>
            <w:r w:rsidR="00E83CA0" w:rsidRPr="00BC4E9C">
              <w:rPr>
                <w:rFonts w:ascii="Times New Roman" w:eastAsia="Times New Roman" w:hAnsi="Times New Roman" w:cs="Times New Roman"/>
                <w:i/>
              </w:rPr>
              <w:t xml:space="preserve">затвердженого рішенням Київської міської ради                  від 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t>24</w:t>
            </w:r>
            <w:r w:rsidR="00E83CA0" w:rsidRPr="00BC4E9C">
              <w:rPr>
                <w:rFonts w:ascii="Times New Roman" w:eastAsia="Times New Roman" w:hAnsi="Times New Roman" w:cs="Times New Roman"/>
                <w:i/>
              </w:rPr>
              <w:t>.0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t>9</w:t>
            </w:r>
            <w:r w:rsidR="00E83CA0" w:rsidRPr="00BC4E9C">
              <w:rPr>
                <w:rFonts w:ascii="Times New Roman" w:eastAsia="Times New Roman" w:hAnsi="Times New Roman" w:cs="Times New Roman"/>
                <w:i/>
              </w:rPr>
              <w:t>.20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t>15</w:t>
            </w:r>
            <w:r w:rsidR="00E83CA0" w:rsidRPr="00BC4E9C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t>46/1949</w:t>
            </w:r>
            <w:r w:rsidR="00E83CA0" w:rsidRPr="00BC4E9C">
              <w:rPr>
                <w:rFonts w:ascii="Times New Roman" w:eastAsia="Times New Roman" w:hAnsi="Times New Roman" w:cs="Times New Roman"/>
                <w:i/>
              </w:rPr>
              <w:t xml:space="preserve">, земельна ділянка за функціональним призначенням належить до території 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t>громадських будівель та споруд (на розрахунковий період)</w:t>
            </w:r>
            <w:r w:rsidR="0082720D" w:rsidRPr="0082720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2720D">
              <w:rPr>
                <w:rFonts w:ascii="Times New Roman" w:eastAsia="Times New Roman" w:hAnsi="Times New Roman" w:cs="Times New Roman"/>
                <w:i/>
              </w:rPr>
              <w:t>та частково до території вулиць і доріг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CC3984" w:rsidRPr="00BC4E9C" w14:paraId="6DD8582F" w14:textId="77777777" w:rsidTr="00D3012E">
        <w:trPr>
          <w:cantSplit/>
          <w:trHeight w:val="1074"/>
        </w:trPr>
        <w:tc>
          <w:tcPr>
            <w:tcW w:w="3260" w:type="dxa"/>
          </w:tcPr>
          <w:p w14:paraId="2264A467" w14:textId="77777777" w:rsidR="00CC3984" w:rsidRPr="00BC4E9C" w:rsidRDefault="00CC3984" w:rsidP="00B85032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0A03CC7A" w14:textId="77777777" w:rsidR="00CC3984" w:rsidRPr="00BC4E9C" w:rsidRDefault="00CC3984" w:rsidP="00B85032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4EC81B9E" w14:textId="49EF7511" w:rsidR="00CC3984" w:rsidRPr="00BC4E9C" w:rsidRDefault="00CC3984" w:rsidP="00D3012E">
            <w:pPr>
              <w:spacing w:line="226" w:lineRule="auto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4E9C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83CA0" w:rsidRPr="006C7CA9">
              <w:rPr>
                <w:rFonts w:ascii="Times New Roman" w:eastAsia="Times New Roman" w:hAnsi="Times New Roman" w:cs="Times New Roman"/>
                <w:i/>
              </w:rPr>
              <w:t>та проекту планування його приміської зони на період до 2020 року</w:t>
            </w:r>
            <w:r w:rsidRPr="00BC4E9C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                 від 28.03.2002 № 370/1804, земельна ділянка за функціональним призначенням </w:t>
            </w:r>
            <w:r w:rsidR="00E83CA0" w:rsidRPr="00BC4E9C">
              <w:rPr>
                <w:rFonts w:ascii="Times New Roman" w:eastAsia="Times New Roman" w:hAnsi="Times New Roman" w:cs="Times New Roman"/>
                <w:i/>
              </w:rPr>
              <w:t xml:space="preserve">належить до території 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t>громадських будівель та споруд (на розрахунковий період).</w:t>
            </w:r>
          </w:p>
        </w:tc>
      </w:tr>
      <w:tr w:rsidR="00CC3984" w:rsidRPr="00BC4E9C" w14:paraId="44CDB810" w14:textId="77777777" w:rsidTr="00B85032">
        <w:trPr>
          <w:cantSplit/>
          <w:trHeight w:val="581"/>
        </w:trPr>
        <w:tc>
          <w:tcPr>
            <w:tcW w:w="3260" w:type="dxa"/>
          </w:tcPr>
          <w:p w14:paraId="1FBBF079" w14:textId="77777777" w:rsidR="00CC3984" w:rsidRPr="00BC4E9C" w:rsidRDefault="00CC3984" w:rsidP="00B85032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08050CEE" w14:textId="0C128CAA" w:rsidR="00CC3984" w:rsidRPr="0026624C" w:rsidRDefault="00CC3984" w:rsidP="00D3012E">
            <w:pPr>
              <w:spacing w:line="226" w:lineRule="auto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6624C">
              <w:rPr>
                <w:rFonts w:ascii="Times New Roman" w:eastAsia="Times New Roman" w:hAnsi="Times New Roman" w:cs="Times New Roman"/>
                <w:i/>
              </w:rPr>
              <w:t>Земельна ділянка належать до земель комунальної власності територіальної громади міста Києва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83CA0" w:rsidRPr="00E83CA0">
              <w:rPr>
                <w:rFonts w:ascii="Times New Roman" w:eastAsia="Times New Roman" w:hAnsi="Times New Roman" w:cs="Times New Roman"/>
                <w:i/>
              </w:rPr>
              <w:t xml:space="preserve">(право власності зареєстровано у Державному реєстрі речових прав на нерухоме майно 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t>16</w:t>
            </w:r>
            <w:r w:rsidR="00E83CA0" w:rsidRPr="00E83CA0">
              <w:rPr>
                <w:rFonts w:ascii="Times New Roman" w:eastAsia="Times New Roman" w:hAnsi="Times New Roman" w:cs="Times New Roman"/>
                <w:i/>
              </w:rPr>
              <w:t>.0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t>2</w:t>
            </w:r>
            <w:r w:rsidR="00E83CA0" w:rsidRPr="00E83CA0">
              <w:rPr>
                <w:rFonts w:ascii="Times New Roman" w:eastAsia="Times New Roman" w:hAnsi="Times New Roman" w:cs="Times New Roman"/>
                <w:i/>
              </w:rPr>
              <w:t xml:space="preserve">.2018, номер відомостей про речове право 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t>24899400</w:t>
            </w:r>
            <w:r w:rsidR="00E83CA0" w:rsidRPr="00E83CA0">
              <w:rPr>
                <w:rFonts w:ascii="Times New Roman" w:eastAsia="Times New Roman" w:hAnsi="Times New Roman" w:cs="Times New Roman"/>
                <w:i/>
              </w:rPr>
              <w:t>) (інформація з Державного реєстру речових прав на нерухоме майно від 07.03.2024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br/>
            </w:r>
            <w:r w:rsidR="00E83CA0" w:rsidRPr="00E83CA0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t>368916351</w:t>
            </w:r>
            <w:r w:rsidR="00E83CA0" w:rsidRPr="00E83CA0">
              <w:rPr>
                <w:rFonts w:ascii="Times New Roman" w:eastAsia="Times New Roman" w:hAnsi="Times New Roman" w:cs="Times New Roman"/>
                <w:i/>
              </w:rPr>
              <w:t>)</w:t>
            </w:r>
            <w:r w:rsidRPr="0026624C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CC3984" w:rsidRPr="00BC4E9C" w14:paraId="15D18839" w14:textId="77777777" w:rsidTr="00D3012E">
        <w:trPr>
          <w:trHeight w:val="70"/>
        </w:trPr>
        <w:tc>
          <w:tcPr>
            <w:tcW w:w="3260" w:type="dxa"/>
          </w:tcPr>
          <w:p w14:paraId="231B2118" w14:textId="77777777" w:rsidR="00CC3984" w:rsidRPr="00BC4E9C" w:rsidRDefault="00CC3984" w:rsidP="00B85032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62D1630B" w14:textId="77777777" w:rsidR="00CC3984" w:rsidRPr="00BC4E9C" w:rsidRDefault="00CC3984" w:rsidP="00D3012E">
            <w:pPr>
              <w:spacing w:line="226" w:lineRule="auto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4E9C">
              <w:rPr>
                <w:rFonts w:ascii="Times New Roman" w:eastAsia="Times New Roman" w:hAnsi="Times New Roman" w:cs="Times New Roman"/>
                <w:i/>
              </w:rPr>
              <w:t>Земельна ділянка не потрапляє до зеленої зони.</w:t>
            </w:r>
          </w:p>
        </w:tc>
      </w:tr>
      <w:tr w:rsidR="00CC3984" w:rsidRPr="00BC4E9C" w14:paraId="17039DC8" w14:textId="77777777" w:rsidTr="00B85032">
        <w:tc>
          <w:tcPr>
            <w:tcW w:w="3260" w:type="dxa"/>
          </w:tcPr>
          <w:p w14:paraId="2263A36A" w14:textId="77777777" w:rsidR="00CC3984" w:rsidRPr="00BC4E9C" w:rsidRDefault="00CC3984" w:rsidP="00B85032">
            <w:pPr>
              <w:ind w:left="-113"/>
              <w:rPr>
                <w:rFonts w:ascii="Times New Roman" w:hAnsi="Times New Roman" w:cs="Times New Roman"/>
              </w:rPr>
            </w:pPr>
            <w:r w:rsidRPr="00BC4E9C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4434EE45" w14:textId="4271C32B" w:rsidR="00E83CA0" w:rsidRDefault="00CC3984" w:rsidP="00D3012E">
            <w:pPr>
              <w:spacing w:line="226" w:lineRule="auto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6624C">
              <w:rPr>
                <w:rFonts w:ascii="Times New Roman" w:eastAsia="Times New Roman" w:hAnsi="Times New Roman" w:cs="Times New Roman"/>
                <w:i/>
              </w:rPr>
              <w:t>З</w:t>
            </w:r>
            <w:r w:rsidR="00E83CA0">
              <w:rPr>
                <w:rFonts w:ascii="Times New Roman" w:eastAsia="Times New Roman" w:hAnsi="Times New Roman" w:cs="Times New Roman"/>
                <w:i/>
              </w:rPr>
              <w:t>емельна ділянка сформована та зареєстрована у Державному земельному кадастрі на підставі технічної документації із землеустрою щодо інвентаризації земель, розробленої на замовлення Шкірно-венерологічного диспансеру Солом’янського району міста Києва.</w:t>
            </w:r>
          </w:p>
          <w:p w14:paraId="42B4E118" w14:textId="77777777" w:rsidR="00D3012E" w:rsidRDefault="00D3012E" w:rsidP="00D3012E">
            <w:pPr>
              <w:spacing w:line="226" w:lineRule="auto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Зазначена т</w:t>
            </w:r>
            <w:r w:rsidRPr="00D3012E">
              <w:rPr>
                <w:rFonts w:ascii="Times New Roman" w:eastAsia="Times New Roman" w:hAnsi="Times New Roman" w:cs="Times New Roman"/>
                <w:i/>
              </w:rPr>
              <w:t>ехнічна документація із землеустрою щодо інвентаризації земель затверджена замовником відповідно до статті 186  Земельного кодексу України (в редакції чинній на момент розробки технічної документації) та погоджена у порядку визначеному статтею 186</w:t>
            </w:r>
            <w:r w:rsidRPr="00D3012E">
              <w:rPr>
                <w:rFonts w:ascii="Times New Roman" w:eastAsia="Times New Roman" w:hAnsi="Times New Roman" w:cs="Times New Roman"/>
                <w:i/>
                <w:vertAlign w:val="superscript"/>
              </w:rPr>
              <w:t>1</w:t>
            </w:r>
            <w:r w:rsidRPr="00D3012E">
              <w:rPr>
                <w:rFonts w:ascii="Times New Roman" w:eastAsia="Times New Roman" w:hAnsi="Times New Roman" w:cs="Times New Roman"/>
                <w:i/>
              </w:rPr>
              <w:t xml:space="preserve">  Земельного кодексу України (в редакції чинній на момент розробки технічної документації).</w:t>
            </w:r>
          </w:p>
          <w:p w14:paraId="2DECEC18" w14:textId="1AB6B5D9" w:rsidR="00E83CA0" w:rsidRDefault="00D3012E" w:rsidP="00D3012E">
            <w:pPr>
              <w:spacing w:line="226" w:lineRule="auto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Рішенням Київської міської ради </w:t>
            </w:r>
            <w:r w:rsidR="007E49B1">
              <w:rPr>
                <w:rFonts w:ascii="Times New Roman" w:eastAsia="Times New Roman" w:hAnsi="Times New Roman" w:cs="Times New Roman"/>
                <w:i/>
              </w:rPr>
              <w:t>від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E49B1">
              <w:rPr>
                <w:rFonts w:ascii="Times New Roman" w:eastAsia="Times New Roman" w:hAnsi="Times New Roman" w:cs="Times New Roman"/>
                <w:i/>
              </w:rPr>
              <w:t xml:space="preserve">24.10.2019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="007E49B1">
              <w:rPr>
                <w:rFonts w:ascii="Times New Roman" w:eastAsia="Times New Roman" w:hAnsi="Times New Roman" w:cs="Times New Roman"/>
                <w:i/>
              </w:rPr>
              <w:t>№ 6/7579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E49B1">
              <w:rPr>
                <w:rFonts w:ascii="Times New Roman" w:eastAsia="Times New Roman" w:hAnsi="Times New Roman" w:cs="Times New Roman"/>
                <w:i/>
              </w:rPr>
              <w:t xml:space="preserve">Шкірно-венерологічний диспансер Солом’янського району міста Києва реорганізовано у комунальне некомерційне </w:t>
            </w:r>
            <w:r w:rsidR="007E49B1" w:rsidRPr="007E49B1">
              <w:rPr>
                <w:rFonts w:ascii="Times New Roman" w:eastAsia="Times New Roman" w:hAnsi="Times New Roman" w:cs="Times New Roman"/>
                <w:i/>
              </w:rPr>
              <w:t xml:space="preserve">підприємство «Шкірно-венерологічний диспансер № 4» виконавчого органу Київської міської ради (Київської міської державної </w:t>
            </w:r>
            <w:r w:rsidR="007E49B1" w:rsidRPr="007E49B1">
              <w:rPr>
                <w:rFonts w:ascii="Times New Roman" w:eastAsia="Times New Roman" w:hAnsi="Times New Roman" w:cs="Times New Roman"/>
                <w:i/>
              </w:rPr>
              <w:lastRenderedPageBreak/>
              <w:t>адміністрації)</w:t>
            </w:r>
            <w:r w:rsidR="007E49B1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28F86EBF" w14:textId="2C350A7F" w:rsidR="007E49B1" w:rsidRPr="007E49B1" w:rsidRDefault="007E49B1" w:rsidP="00D3012E">
            <w:pPr>
              <w:spacing w:line="226" w:lineRule="auto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Рішенням Київської міської ради від 08.04.2021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№ 566/607 комунальне некомерційне </w:t>
            </w:r>
            <w:r w:rsidRPr="007E49B1">
              <w:rPr>
                <w:rFonts w:ascii="Times New Roman" w:eastAsia="Times New Roman" w:hAnsi="Times New Roman" w:cs="Times New Roman"/>
                <w:i/>
              </w:rPr>
              <w:t>підприємство «Шкірно-венерологічний диспансер № 4»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реорганізовано </w:t>
            </w:r>
            <w:r w:rsidR="00F058DD">
              <w:rPr>
                <w:rFonts w:ascii="Times New Roman" w:eastAsia="Times New Roman" w:hAnsi="Times New Roman" w:cs="Times New Roman"/>
                <w:i/>
              </w:rPr>
              <w:t xml:space="preserve">шляхом приєднання до </w:t>
            </w:r>
            <w:r>
              <w:rPr>
                <w:rFonts w:ascii="Times New Roman" w:eastAsia="Times New Roman" w:hAnsi="Times New Roman" w:cs="Times New Roman"/>
                <w:i/>
              </w:rPr>
              <w:t>к</w:t>
            </w:r>
            <w:r w:rsidRPr="007E49B1">
              <w:rPr>
                <w:rFonts w:ascii="Times New Roman" w:eastAsia="Times New Roman" w:hAnsi="Times New Roman" w:cs="Times New Roman"/>
                <w:i/>
              </w:rPr>
              <w:t>омунальн</w:t>
            </w:r>
            <w:r w:rsidR="00F058DD">
              <w:rPr>
                <w:rFonts w:ascii="Times New Roman" w:eastAsia="Times New Roman" w:hAnsi="Times New Roman" w:cs="Times New Roman"/>
                <w:i/>
              </w:rPr>
              <w:t>ого</w:t>
            </w:r>
            <w:r w:rsidRPr="007E49B1">
              <w:rPr>
                <w:rFonts w:ascii="Times New Roman" w:eastAsia="Times New Roman" w:hAnsi="Times New Roman" w:cs="Times New Roman"/>
                <w:i/>
              </w:rPr>
              <w:t xml:space="preserve"> некомерційн</w:t>
            </w:r>
            <w:r w:rsidR="00F058DD">
              <w:rPr>
                <w:rFonts w:ascii="Times New Roman" w:eastAsia="Times New Roman" w:hAnsi="Times New Roman" w:cs="Times New Roman"/>
                <w:i/>
              </w:rPr>
              <w:t>ого</w:t>
            </w:r>
            <w:r w:rsidRPr="007E49B1">
              <w:rPr>
                <w:rFonts w:ascii="Times New Roman" w:eastAsia="Times New Roman" w:hAnsi="Times New Roman" w:cs="Times New Roman"/>
                <w:i/>
              </w:rPr>
              <w:t xml:space="preserve"> підприємств</w:t>
            </w:r>
            <w:r w:rsidR="00F058DD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7E49B1">
              <w:rPr>
                <w:rFonts w:ascii="Times New Roman" w:eastAsia="Times New Roman" w:hAnsi="Times New Roman" w:cs="Times New Roman"/>
                <w:i/>
              </w:rPr>
              <w:t xml:space="preserve"> «ДЕРМАТОВЕНЕРОЛОГІЯ»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C2B026E" w14:textId="53BF3425" w:rsidR="007E49B1" w:rsidRPr="007E49B1" w:rsidRDefault="00E83CA0" w:rsidP="00D3012E">
            <w:pPr>
              <w:spacing w:line="226" w:lineRule="auto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E49B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E49B1" w:rsidRPr="007E49B1">
              <w:rPr>
                <w:rFonts w:ascii="Times New Roman" w:eastAsia="Times New Roman" w:hAnsi="Times New Roman" w:cs="Times New Roman"/>
                <w:i/>
              </w:rPr>
              <w:t xml:space="preserve">Рішення про передачу зазначеної земельної ділянки у власність або у користування будь-яким фізичним або юридичним особам за поданням Департаменту </w:t>
            </w:r>
            <w:r w:rsidR="007E49B1">
              <w:rPr>
                <w:rFonts w:ascii="Times New Roman" w:eastAsia="Times New Roman" w:hAnsi="Times New Roman" w:cs="Times New Roman"/>
                <w:i/>
              </w:rPr>
              <w:t xml:space="preserve">земельних ресурсів </w:t>
            </w:r>
            <w:r w:rsidR="007E49B1" w:rsidRPr="007E49B1">
              <w:rPr>
                <w:rFonts w:ascii="Times New Roman" w:eastAsia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адміністрації)</w:t>
            </w:r>
            <w:r w:rsidR="007E49B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E49B1" w:rsidRPr="007E49B1">
              <w:rPr>
                <w:rFonts w:ascii="Times New Roman" w:eastAsia="Times New Roman" w:hAnsi="Times New Roman" w:cs="Times New Roman"/>
                <w:i/>
              </w:rPr>
              <w:t>Київська міська рада не приймала.</w:t>
            </w:r>
          </w:p>
          <w:p w14:paraId="4434500C" w14:textId="23F8E404" w:rsidR="007E49B1" w:rsidRDefault="007E49B1" w:rsidP="00D3012E">
            <w:pPr>
              <w:spacing w:line="226" w:lineRule="auto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Частина земельної ділянки розташована в межах червоних ліній.</w:t>
            </w:r>
          </w:p>
          <w:p w14:paraId="31A1521C" w14:textId="77777777" w:rsidR="00CC3984" w:rsidRPr="0026624C" w:rsidRDefault="00CC3984" w:rsidP="00D3012E">
            <w:pPr>
              <w:spacing w:line="226" w:lineRule="auto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6624C">
              <w:rPr>
                <w:rFonts w:ascii="Times New Roman" w:eastAsia="Times New Roman" w:hAnsi="Times New Roman" w:cs="Times New Roman"/>
                <w:i/>
              </w:rPr>
              <w:t xml:space="preserve">Зазначаємо, що Департамент земельних ресурсів </w:t>
            </w:r>
            <w:r w:rsidRPr="0026624C">
              <w:rPr>
                <w:rFonts w:ascii="Times New Roman" w:eastAsia="Times New Roman" w:hAnsi="Times New Roman" w:cs="Times New Roman"/>
                <w:i/>
              </w:rPr>
              <w:br/>
              <w:t>не може перебирати на себе повноваження Київської міської ради та приймати рішення про надання або відмову у наданні в постійне користування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4D7B98B" w14:textId="77777777" w:rsidR="00CC3984" w:rsidRPr="0026624C" w:rsidRDefault="00CC3984" w:rsidP="00D3012E">
            <w:pPr>
              <w:spacing w:line="226" w:lineRule="auto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6624C">
              <w:rPr>
                <w:rFonts w:ascii="Times New Roman" w:eastAsia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Pr="0026624C">
              <w:rPr>
                <w:rFonts w:ascii="Times New Roman" w:eastAsia="Times New Roman" w:hAnsi="Times New Roman" w:cs="Times New Roman"/>
                <w:i/>
              </w:rPr>
              <w:br/>
              <w:t xml:space="preserve">від 17.04.2018 у справі № 826/8107/16, від 16.09.2021 у справі № 826/8847/16. </w:t>
            </w:r>
          </w:p>
          <w:p w14:paraId="32F5B3E8" w14:textId="77777777" w:rsidR="00CC3984" w:rsidRPr="0026624C" w:rsidRDefault="00CC3984" w:rsidP="00D3012E">
            <w:pPr>
              <w:spacing w:line="226" w:lineRule="auto"/>
              <w:ind w:firstLine="3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6624C">
              <w:rPr>
                <w:rFonts w:ascii="Times New Roman" w:eastAsia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26624C">
              <w:rPr>
                <w:rFonts w:ascii="Times New Roman" w:eastAsia="Times New Roman" w:hAnsi="Times New Roman" w:cs="Times New Roman"/>
                <w:i/>
              </w:rPr>
              <w:t>проєкт</w:t>
            </w:r>
            <w:proofErr w:type="spellEnd"/>
            <w:r w:rsidRPr="0026624C">
              <w:rPr>
                <w:rFonts w:ascii="Times New Roman" w:eastAsia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0C8B49D" w14:textId="77777777" w:rsidR="00CC3984" w:rsidRPr="00D3012E" w:rsidRDefault="00CC3984" w:rsidP="00CC398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8"/>
          <w:szCs w:val="8"/>
          <w:lang w:val="uk-UA"/>
        </w:rPr>
      </w:pPr>
    </w:p>
    <w:p w14:paraId="2EC58BEE" w14:textId="77777777" w:rsidR="00CC3984" w:rsidRPr="00BC4E9C" w:rsidRDefault="00CC3984" w:rsidP="00F058DD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ind w:firstLine="400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6B95F955" w14:textId="77777777" w:rsidR="00CC3984" w:rsidRPr="00BC4E9C" w:rsidRDefault="00CC3984" w:rsidP="00F058DD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BC4E9C">
        <w:rPr>
          <w:i w:val="0"/>
          <w:sz w:val="24"/>
          <w:szCs w:val="24"/>
          <w:lang w:val="uk-UA"/>
        </w:rPr>
        <w:t>від 20.04.2017 № 241/2463.</w:t>
      </w:r>
    </w:p>
    <w:p w14:paraId="738B2F58" w14:textId="3C2C7309" w:rsidR="00CC3984" w:rsidRPr="00BC4E9C" w:rsidRDefault="00CC3984" w:rsidP="00F058DD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BC4E9C">
        <w:rPr>
          <w:i w:val="0"/>
          <w:sz w:val="24"/>
          <w:szCs w:val="24"/>
          <w:lang w:val="uk-UA"/>
        </w:rPr>
        <w:t>Про</w:t>
      </w:r>
      <w:r>
        <w:rPr>
          <w:i w:val="0"/>
          <w:sz w:val="24"/>
          <w:szCs w:val="24"/>
          <w:lang w:val="uk-UA"/>
        </w:rPr>
        <w:t>є</w:t>
      </w:r>
      <w:r w:rsidRPr="00BC4E9C">
        <w:rPr>
          <w:i w:val="0"/>
          <w:sz w:val="24"/>
          <w:szCs w:val="24"/>
          <w:lang w:val="uk-UA"/>
        </w:rPr>
        <w:t>кт</w:t>
      </w:r>
      <w:proofErr w:type="spellEnd"/>
      <w:r w:rsidRPr="00BC4E9C">
        <w:rPr>
          <w:i w:val="0"/>
          <w:sz w:val="24"/>
          <w:szCs w:val="24"/>
          <w:lang w:val="uk-UA"/>
        </w:rPr>
        <w:t xml:space="preserve"> рішення </w:t>
      </w:r>
      <w:r w:rsidR="007E49B1">
        <w:rPr>
          <w:i w:val="0"/>
          <w:sz w:val="24"/>
          <w:szCs w:val="24"/>
          <w:lang w:val="uk-UA"/>
        </w:rPr>
        <w:t xml:space="preserve">не </w:t>
      </w:r>
      <w:r w:rsidRPr="00BC4E9C">
        <w:rPr>
          <w:i w:val="0"/>
          <w:sz w:val="24"/>
          <w:szCs w:val="24"/>
          <w:lang w:val="uk-UA"/>
        </w:rPr>
        <w:t>містить інформаці</w:t>
      </w:r>
      <w:r w:rsidR="007E49B1">
        <w:rPr>
          <w:i w:val="0"/>
          <w:sz w:val="24"/>
          <w:szCs w:val="24"/>
          <w:lang w:val="uk-UA"/>
        </w:rPr>
        <w:t>ї</w:t>
      </w:r>
      <w:r w:rsidRPr="00BC4E9C">
        <w:rPr>
          <w:i w:val="0"/>
          <w:sz w:val="24"/>
          <w:szCs w:val="24"/>
          <w:lang w:val="uk-UA"/>
        </w:rPr>
        <w:t xml:space="preserve"> з обмеженим доступом у розумінні статті 6 Закону України «Про доступ до публічної інформації».</w:t>
      </w:r>
    </w:p>
    <w:p w14:paraId="3DA43622" w14:textId="77777777" w:rsidR="00CC3984" w:rsidRPr="00BC4E9C" w:rsidRDefault="00CC3984" w:rsidP="00F058DD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BC4E9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BC4E9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</w:t>
      </w:r>
      <w:r w:rsidRPr="00BC4E9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>не матиме впливу на життєдіяльність цієї категорії.</w:t>
      </w:r>
    </w:p>
    <w:p w14:paraId="5FBD973B" w14:textId="77777777" w:rsidR="00CC3984" w:rsidRPr="00D3012E" w:rsidRDefault="00CC3984" w:rsidP="00F058DD">
      <w:pPr>
        <w:pStyle w:val="1"/>
        <w:shd w:val="clear" w:color="auto" w:fill="auto"/>
        <w:ind w:firstLine="420"/>
        <w:jc w:val="both"/>
        <w:rPr>
          <w:i w:val="0"/>
          <w:sz w:val="12"/>
          <w:szCs w:val="12"/>
          <w:lang w:val="uk-UA"/>
        </w:rPr>
      </w:pPr>
    </w:p>
    <w:p w14:paraId="075FAD52" w14:textId="77777777" w:rsidR="00CC3984" w:rsidRPr="00BC4E9C" w:rsidRDefault="00CC3984" w:rsidP="00F058DD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ind w:firstLine="420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7C88D211" w14:textId="77777777" w:rsidR="00CC3984" w:rsidRPr="00BC4E9C" w:rsidRDefault="00CC3984" w:rsidP="00F058DD">
      <w:pPr>
        <w:pStyle w:val="1"/>
        <w:tabs>
          <w:tab w:val="left" w:pos="426"/>
        </w:tabs>
        <w:ind w:left="400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7EFC79E" w14:textId="3CC16814" w:rsidR="00CC3984" w:rsidRPr="00BC4E9C" w:rsidRDefault="00CC3984" w:rsidP="00F058DD">
      <w:pPr>
        <w:pStyle w:val="1"/>
        <w:shd w:val="clear" w:color="auto" w:fill="auto"/>
        <w:tabs>
          <w:tab w:val="left" w:pos="708"/>
        </w:tabs>
        <w:ind w:firstLine="426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E15F49" w:rsidRPr="00E15F49">
        <w:rPr>
          <w:b/>
          <w:i w:val="0"/>
          <w:sz w:val="24"/>
          <w:szCs w:val="24"/>
          <w:lang w:val="uk-UA"/>
        </w:rPr>
        <w:t>1 798</w:t>
      </w:r>
      <w:r>
        <w:rPr>
          <w:b/>
          <w:i w:val="0"/>
          <w:sz w:val="24"/>
          <w:szCs w:val="24"/>
          <w:lang w:val="uk-UA"/>
        </w:rPr>
        <w:t xml:space="preserve"> </w:t>
      </w:r>
      <w:r w:rsidRPr="00CC1573">
        <w:rPr>
          <w:b/>
          <w:i w:val="0"/>
          <w:sz w:val="24"/>
          <w:szCs w:val="24"/>
          <w:lang w:val="uk-UA"/>
        </w:rPr>
        <w:t xml:space="preserve">грн </w:t>
      </w:r>
      <w:r w:rsidR="00E15F49" w:rsidRPr="00E15F49">
        <w:rPr>
          <w:b/>
          <w:i w:val="0"/>
          <w:sz w:val="24"/>
          <w:szCs w:val="24"/>
          <w:lang w:val="uk-UA"/>
        </w:rPr>
        <w:t>77</w:t>
      </w:r>
      <w:r w:rsidRPr="00CC1573">
        <w:rPr>
          <w:b/>
          <w:i w:val="0"/>
          <w:sz w:val="24"/>
          <w:szCs w:val="24"/>
          <w:lang w:val="uk-UA"/>
        </w:rPr>
        <w:t xml:space="preserve"> коп. (</w:t>
      </w:r>
      <w:r w:rsidR="00A65858">
        <w:rPr>
          <w:b/>
          <w:i w:val="0"/>
          <w:sz w:val="24"/>
          <w:szCs w:val="24"/>
          <w:lang w:val="uk-UA"/>
        </w:rPr>
        <w:t>0,0</w:t>
      </w:r>
      <w:r>
        <w:rPr>
          <w:b/>
          <w:i w:val="0"/>
          <w:sz w:val="24"/>
          <w:szCs w:val="24"/>
          <w:lang w:val="uk-UA"/>
        </w:rPr>
        <w:t>1</w:t>
      </w:r>
      <w:r w:rsidRPr="00CC1573">
        <w:rPr>
          <w:b/>
          <w:i w:val="0"/>
          <w:sz w:val="24"/>
          <w:szCs w:val="24"/>
          <w:lang w:val="uk-UA"/>
        </w:rPr>
        <w:t xml:space="preserve"> %)</w:t>
      </w:r>
      <w:r w:rsidRPr="00BC4E9C">
        <w:rPr>
          <w:i w:val="0"/>
          <w:sz w:val="24"/>
          <w:szCs w:val="24"/>
          <w:lang w:val="uk-UA"/>
        </w:rPr>
        <w:t>.</w:t>
      </w:r>
    </w:p>
    <w:p w14:paraId="34C9D28A" w14:textId="77777777" w:rsidR="00CC3984" w:rsidRPr="00D3012E" w:rsidRDefault="00CC3984" w:rsidP="00F058DD">
      <w:pPr>
        <w:pStyle w:val="1"/>
        <w:shd w:val="clear" w:color="auto" w:fill="auto"/>
        <w:tabs>
          <w:tab w:val="left" w:pos="708"/>
        </w:tabs>
        <w:rPr>
          <w:i w:val="0"/>
          <w:sz w:val="12"/>
          <w:szCs w:val="12"/>
          <w:lang w:val="uk-UA"/>
        </w:rPr>
      </w:pPr>
    </w:p>
    <w:p w14:paraId="3D9EBF51" w14:textId="77777777" w:rsidR="00CC3984" w:rsidRPr="00BC4E9C" w:rsidRDefault="00CC3984" w:rsidP="00F058DD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ind w:firstLine="400"/>
        <w:rPr>
          <w:i w:val="0"/>
          <w:sz w:val="24"/>
          <w:szCs w:val="24"/>
          <w:lang w:val="uk-UA"/>
        </w:rPr>
      </w:pPr>
      <w:r w:rsidRPr="00BC4E9C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0E1E4F56" w14:textId="77777777" w:rsidR="00CC3984" w:rsidRPr="00BC4E9C" w:rsidRDefault="00CC3984" w:rsidP="00F058DD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BC4E9C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C4E9C">
        <w:rPr>
          <w:i w:val="0"/>
          <w:sz w:val="24"/>
          <w:szCs w:val="24"/>
          <w:lang w:val="uk-UA"/>
        </w:rPr>
        <w:t>проєкту</w:t>
      </w:r>
      <w:proofErr w:type="spellEnd"/>
      <w:r w:rsidRPr="00BC4E9C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корист</w:t>
      </w:r>
      <w:r>
        <w:rPr>
          <w:i w:val="0"/>
          <w:sz w:val="24"/>
          <w:szCs w:val="24"/>
          <w:lang w:val="uk-UA"/>
        </w:rPr>
        <w:t>ування</w:t>
      </w:r>
      <w:r w:rsidRPr="00BC4E9C">
        <w:rPr>
          <w:i w:val="0"/>
          <w:sz w:val="24"/>
          <w:szCs w:val="24"/>
          <w:lang w:val="uk-UA"/>
        </w:rPr>
        <w:t xml:space="preserve"> земельно</w:t>
      </w:r>
      <w:r>
        <w:rPr>
          <w:i w:val="0"/>
          <w:sz w:val="24"/>
          <w:szCs w:val="24"/>
          <w:lang w:val="uk-UA"/>
        </w:rPr>
        <w:t>ю</w:t>
      </w:r>
      <w:r w:rsidRPr="00BC4E9C">
        <w:rPr>
          <w:i w:val="0"/>
          <w:sz w:val="24"/>
          <w:szCs w:val="24"/>
          <w:lang w:val="uk-UA"/>
        </w:rPr>
        <w:t xml:space="preserve"> ділянк</w:t>
      </w:r>
      <w:r>
        <w:rPr>
          <w:i w:val="0"/>
          <w:sz w:val="24"/>
          <w:szCs w:val="24"/>
          <w:lang w:val="uk-UA"/>
        </w:rPr>
        <w:t>ою</w:t>
      </w:r>
      <w:r w:rsidRPr="00BC4E9C">
        <w:rPr>
          <w:i w:val="0"/>
          <w:sz w:val="24"/>
          <w:szCs w:val="24"/>
          <w:lang w:val="uk-UA"/>
        </w:rPr>
        <w:t>.</w:t>
      </w:r>
    </w:p>
    <w:p w14:paraId="3BD63F9A" w14:textId="77777777" w:rsidR="00CC3984" w:rsidRPr="00F058DD" w:rsidRDefault="00CC3984" w:rsidP="00F058DD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16"/>
          <w:szCs w:val="16"/>
          <w:lang w:val="uk-UA"/>
        </w:rPr>
      </w:pPr>
    </w:p>
    <w:p w14:paraId="2552DAFA" w14:textId="77777777" w:rsidR="00CC3984" w:rsidRPr="00BC4E9C" w:rsidRDefault="00CC3984" w:rsidP="00F058DD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BC4E9C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BC4E9C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105E20D3" w14:textId="77777777" w:rsidR="00CC3984" w:rsidRPr="00BC4E9C" w:rsidRDefault="00CC3984" w:rsidP="00F058DD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C3984" w:rsidRPr="00BC4E9C" w14:paraId="254C2116" w14:textId="77777777" w:rsidTr="00B85032">
        <w:trPr>
          <w:trHeight w:val="182"/>
        </w:trPr>
        <w:tc>
          <w:tcPr>
            <w:tcW w:w="4814" w:type="dxa"/>
            <w:hideMark/>
          </w:tcPr>
          <w:p w14:paraId="061DF32E" w14:textId="77777777" w:rsidR="00CC3984" w:rsidRPr="00BC4E9C" w:rsidRDefault="00CC3984" w:rsidP="00B85032">
            <w:pPr>
              <w:pStyle w:val="30"/>
              <w:spacing w:line="240" w:lineRule="auto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C4E9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1292D042" w14:textId="185786FF" w:rsidR="00CC3984" w:rsidRPr="00BC4E9C" w:rsidRDefault="00CC3984" w:rsidP="00F058DD">
            <w:pPr>
              <w:pStyle w:val="30"/>
              <w:shd w:val="clear" w:color="auto" w:fill="auto"/>
              <w:spacing w:line="240" w:lineRule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C4E9C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749E09CD" w14:textId="77777777" w:rsidR="00CC3984" w:rsidRPr="00BC4E9C" w:rsidRDefault="00CC3984" w:rsidP="00F058DD">
      <w:pPr>
        <w:pStyle w:val="1"/>
        <w:shd w:val="clear" w:color="auto" w:fill="auto"/>
        <w:rPr>
          <w:lang w:val="uk-UA"/>
        </w:rPr>
      </w:pPr>
    </w:p>
    <w:sectPr w:rsidR="00CC3984" w:rsidRPr="00BC4E9C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6C579" w14:textId="77777777" w:rsidR="00A436F4" w:rsidRDefault="00A436F4">
      <w:r>
        <w:separator/>
      </w:r>
    </w:p>
  </w:endnote>
  <w:endnote w:type="continuationSeparator" w:id="0">
    <w:p w14:paraId="6FDFE8C2" w14:textId="77777777" w:rsidR="00A436F4" w:rsidRDefault="00A4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C707AD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C707AD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C707AD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FCCA1" w14:textId="77777777" w:rsidR="00A436F4" w:rsidRDefault="00A436F4">
      <w:r>
        <w:separator/>
      </w:r>
    </w:p>
  </w:footnote>
  <w:footnote w:type="continuationSeparator" w:id="0">
    <w:p w14:paraId="5A62CF1D" w14:textId="77777777" w:rsidR="00A436F4" w:rsidRDefault="00A4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540ED5" w14:textId="77777777" w:rsidR="00CC3984" w:rsidRDefault="002D265C" w:rsidP="00CC3984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1DF3F03D" w:rsidR="00C707AD" w:rsidRPr="00CC3984" w:rsidRDefault="0012494D" w:rsidP="00CC3984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proofErr w:type="spellStart"/>
        <w:r w:rsidRPr="00CC3984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Pr="00CC3984">
          <w:rPr>
            <w:i w:val="0"/>
            <w:sz w:val="12"/>
            <w:szCs w:val="12"/>
            <w:lang w:val="ru-RU"/>
          </w:rPr>
          <w:t xml:space="preserve"> записка № ПЗН-63525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Pr="00CC3984">
          <w:rPr>
            <w:i w:val="0"/>
            <w:sz w:val="12"/>
            <w:szCs w:val="12"/>
            <w:lang w:val="ru-RU"/>
          </w:rPr>
          <w:t>від</w:t>
        </w:r>
        <w:proofErr w:type="spellEnd"/>
        <w:r w:rsidRPr="00CC3984">
          <w:rPr>
            <w:i w:val="0"/>
            <w:sz w:val="12"/>
            <w:szCs w:val="12"/>
            <w:lang w:val="ru-RU"/>
          </w:rPr>
          <w:t xml:space="preserve"> </w:t>
        </w:r>
        <w:r w:rsidR="00855E11" w:rsidRPr="00CC3984">
          <w:rPr>
            <w:i w:val="0"/>
            <w:sz w:val="12"/>
            <w:szCs w:val="12"/>
            <w:lang w:val="ru-RU"/>
          </w:rPr>
          <w:t>12.03.2024</w:t>
        </w:r>
        <w:r w:rsidRPr="00CC3984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CC3984">
          <w:rPr>
            <w:i w:val="0"/>
            <w:sz w:val="12"/>
            <w:szCs w:val="12"/>
            <w:lang w:val="ru-RU"/>
          </w:rPr>
          <w:t>справи</w:t>
        </w:r>
        <w:proofErr w:type="spellEnd"/>
        <w:r w:rsidRPr="00CC3984">
          <w:rPr>
            <w:i w:val="0"/>
            <w:sz w:val="12"/>
            <w:szCs w:val="12"/>
            <w:lang w:val="ru-RU"/>
          </w:rPr>
          <w:t xml:space="preserve"> 334319267</w:t>
        </w:r>
      </w:p>
      <w:p w14:paraId="3386C57A" w14:textId="78AC990C" w:rsidR="00C707AD" w:rsidRPr="00800A09" w:rsidRDefault="0012494D" w:rsidP="00CC3984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C0563" w:rsidRPr="009C056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C707AD" w:rsidRDefault="00C707A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50652B"/>
    <w:rsid w:val="005740F1"/>
    <w:rsid w:val="00581A44"/>
    <w:rsid w:val="005C003C"/>
    <w:rsid w:val="005D5C2D"/>
    <w:rsid w:val="005E2EFF"/>
    <w:rsid w:val="0065190A"/>
    <w:rsid w:val="006A34C6"/>
    <w:rsid w:val="007033CD"/>
    <w:rsid w:val="00704915"/>
    <w:rsid w:val="00706695"/>
    <w:rsid w:val="00725C6A"/>
    <w:rsid w:val="007312B1"/>
    <w:rsid w:val="007C0899"/>
    <w:rsid w:val="007D4A0A"/>
    <w:rsid w:val="007E3A33"/>
    <w:rsid w:val="007E49B1"/>
    <w:rsid w:val="007F05B6"/>
    <w:rsid w:val="007F1356"/>
    <w:rsid w:val="00820317"/>
    <w:rsid w:val="0082720D"/>
    <w:rsid w:val="00855E11"/>
    <w:rsid w:val="008F3E86"/>
    <w:rsid w:val="0094351B"/>
    <w:rsid w:val="0098267F"/>
    <w:rsid w:val="009C0563"/>
    <w:rsid w:val="00A03734"/>
    <w:rsid w:val="00A1045E"/>
    <w:rsid w:val="00A214DC"/>
    <w:rsid w:val="00A318A9"/>
    <w:rsid w:val="00A34F0D"/>
    <w:rsid w:val="00A404EA"/>
    <w:rsid w:val="00A436F4"/>
    <w:rsid w:val="00A60058"/>
    <w:rsid w:val="00A658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7AD"/>
    <w:rsid w:val="00C70FE7"/>
    <w:rsid w:val="00C94FF1"/>
    <w:rsid w:val="00C95681"/>
    <w:rsid w:val="00CA5D01"/>
    <w:rsid w:val="00CC3984"/>
    <w:rsid w:val="00D27EDF"/>
    <w:rsid w:val="00D3012E"/>
    <w:rsid w:val="00D57CE8"/>
    <w:rsid w:val="00D659E4"/>
    <w:rsid w:val="00D702BD"/>
    <w:rsid w:val="00D77F52"/>
    <w:rsid w:val="00D85DDE"/>
    <w:rsid w:val="00E15F49"/>
    <w:rsid w:val="00E34240"/>
    <w:rsid w:val="00E60C6D"/>
    <w:rsid w:val="00E83CA0"/>
    <w:rsid w:val="00E90C7D"/>
    <w:rsid w:val="00E92EA7"/>
    <w:rsid w:val="00E9746A"/>
    <w:rsid w:val="00EC641A"/>
    <w:rsid w:val="00EF388D"/>
    <w:rsid w:val="00F012A7"/>
    <w:rsid w:val="00F058DD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.kmr.DZR-2121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4F6D-1E8E-4FF0-B753-BC8A2CD6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>Пояснювальна записка до проєкту рішення про передачу</vt:lpstr>
    </vt:vector>
  </TitlesOfParts>
  <Manager>Управління землеустрою</Manager>
  <Company>ДЕПАРТАМЕНТ ЗЕМЕЛЬНИХ РЕСУРСІВ</Company>
  <LinksUpToDate>false</LinksUpToDate>
  <CharactersWithSpaces>8373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user.kmr</cp:lastModifiedBy>
  <cp:revision>2</cp:revision>
  <cp:lastPrinted>2024-03-18T11:30:00Z</cp:lastPrinted>
  <dcterms:created xsi:type="dcterms:W3CDTF">2024-03-26T08:52:00Z</dcterms:created>
  <dcterms:modified xsi:type="dcterms:W3CDTF">2024-03-26T08:52:00Z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