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494275657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494275657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6C00F4">
        <w:rPr>
          <w:b/>
          <w:bCs/>
          <w:color w:val="auto"/>
          <w:sz w:val="24"/>
          <w:szCs w:val="24"/>
          <w:lang w:val="ru-RU"/>
        </w:rPr>
        <w:t>ПЗН-62231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6C00F4">
        <w:rPr>
          <w:b/>
          <w:bCs/>
          <w:color w:val="auto"/>
          <w:sz w:val="24"/>
          <w:szCs w:val="24"/>
          <w:lang w:val="ru-RU"/>
        </w:rPr>
        <w:t>08.02.2024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0FED34C6" w14:textId="77777777" w:rsidR="006C00F4" w:rsidRPr="006C00F4" w:rsidRDefault="006C00F4" w:rsidP="006C00F4">
      <w:pPr>
        <w:pStyle w:val="1"/>
        <w:shd w:val="clear" w:color="auto" w:fill="auto"/>
        <w:spacing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6C00F4">
        <w:rPr>
          <w:b/>
          <w:bCs/>
          <w:i/>
          <w:iCs/>
          <w:color w:val="auto"/>
          <w:sz w:val="24"/>
          <w:szCs w:val="24"/>
        </w:rPr>
        <w:t xml:space="preserve">Про передачу громадянину Музиці Олександру Олександровичу у приватну власність земельної ділянки для колективного садівництва на вул. Янтарній, 3 </w:t>
      </w:r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 xml:space="preserve">(ОБСЛУГОВУЮЧИЙ КООПЕРАТИВ «САДОВО-ДАЧНИЙ КООПЕРАТИВ «ОРХІДЕЯ-3») у </w:t>
      </w:r>
      <w:proofErr w:type="spellStart"/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C00F4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3D808EFA" w14:textId="77777777" w:rsidR="00E17376" w:rsidRPr="006C00F4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  <w:lang w:val="ru-RU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6243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5BAE4981" w:rsidR="00E659C4" w:rsidRPr="00104BBD" w:rsidRDefault="006C00F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Музика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Олександр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06.02.2024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494275657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7F7A89C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8000000000:96:072:0016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0D44DE4E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Янтарна, 3, </w:t>
            </w:r>
            <w:proofErr w:type="spellStart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618E" w:rsidRPr="009D618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0,0667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5AD48F38" w:rsidR="00E659C4" w:rsidRPr="0061239E" w:rsidRDefault="009D618E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</w:t>
            </w:r>
            <w:r w:rsidR="00E659C4"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9D618E" w:rsidRPr="00104BBD" w14:paraId="6DCD5B27" w14:textId="77777777" w:rsidTr="00B509A0">
        <w:tc>
          <w:tcPr>
            <w:tcW w:w="3652" w:type="dxa"/>
          </w:tcPr>
          <w:p w14:paraId="7A94B9B2" w14:textId="02819F7C" w:rsidR="009D618E" w:rsidRDefault="009D618E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9D618E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36A4DD5F" w14:textId="4195EE4C" w:rsidR="009D618E" w:rsidRDefault="009D618E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9D618E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0E18738A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9D618E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48A93A51" w:rsidR="00E659C4" w:rsidRPr="0061239E" w:rsidRDefault="009D618E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ведення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35F5D65" w14:textId="77777777" w:rsidR="00DD513E" w:rsidRPr="00DD513E" w:rsidRDefault="00DD513E" w:rsidP="00DD513E">
      <w:pPr>
        <w:pStyle w:val="1"/>
        <w:spacing w:after="40" w:line="233" w:lineRule="auto"/>
        <w:jc w:val="both"/>
        <w:rPr>
          <w:color w:val="auto"/>
          <w:sz w:val="24"/>
          <w:szCs w:val="24"/>
        </w:rPr>
      </w:pPr>
      <w:r w:rsidRPr="00DD513E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DD513E">
        <w:rPr>
          <w:color w:val="auto"/>
          <w:sz w:val="24"/>
          <w:szCs w:val="24"/>
        </w:rPr>
        <w:t>проєкт</w:t>
      </w:r>
      <w:proofErr w:type="spellEnd"/>
      <w:r w:rsidRPr="00DD513E">
        <w:rPr>
          <w:color w:val="auto"/>
          <w:sz w:val="24"/>
          <w:szCs w:val="24"/>
        </w:rPr>
        <w:t xml:space="preserve"> землеустрою щодо відведення земельної ділянки.</w:t>
      </w:r>
    </w:p>
    <w:p w14:paraId="60C38559" w14:textId="12307BC2" w:rsidR="00E82810" w:rsidRDefault="00804965" w:rsidP="00DD513E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  <w:r w:rsidRPr="00804965">
        <w:rPr>
          <w:color w:val="auto"/>
          <w:sz w:val="24"/>
          <w:szCs w:val="24"/>
        </w:rPr>
        <w:t xml:space="preserve">       </w:t>
      </w:r>
      <w:r w:rsidR="00DD513E" w:rsidRPr="00DD513E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DD513E" w:rsidRPr="00DD513E">
        <w:rPr>
          <w:color w:val="auto"/>
          <w:sz w:val="24"/>
          <w:szCs w:val="24"/>
        </w:rPr>
        <w:t>проєкт</w:t>
      </w:r>
      <w:proofErr w:type="spellEnd"/>
      <w:r w:rsidR="00DD513E" w:rsidRPr="00DD513E">
        <w:rPr>
          <w:color w:val="auto"/>
          <w:sz w:val="24"/>
          <w:szCs w:val="24"/>
        </w:rPr>
        <w:t xml:space="preserve"> рішення Київської міської ради «Про передачу громадянину Музиці Олександру Олександровичу у приватну власність земельної ділянки для колективного садівництва на вул. Янтарній, 3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DD513E" w:rsidRPr="00DD513E">
        <w:rPr>
          <w:color w:val="auto"/>
          <w:sz w:val="24"/>
          <w:szCs w:val="24"/>
        </w:rPr>
        <w:t>Осокорки</w:t>
      </w:r>
      <w:proofErr w:type="spellEnd"/>
      <w:r w:rsidR="00DD513E" w:rsidRPr="00DD513E">
        <w:rPr>
          <w:color w:val="auto"/>
          <w:sz w:val="24"/>
          <w:szCs w:val="24"/>
        </w:rPr>
        <w:t>».</w:t>
      </w:r>
    </w:p>
    <w:p w14:paraId="30EA434E" w14:textId="77777777" w:rsidR="00DD513E" w:rsidRPr="00104BBD" w:rsidRDefault="00DD513E" w:rsidP="00DD513E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0C720E62" w14:textId="2E5EB3E5" w:rsidR="00DD513E" w:rsidRPr="00104BBD" w:rsidRDefault="00DD513E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DD513E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48C86B6B" w:rsidR="00E12AC0" w:rsidRPr="00104BBD" w:rsidRDefault="00DD513E" w:rsidP="0080496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804965">
              <w:rPr>
                <w:i/>
                <w:color w:val="auto"/>
                <w:sz w:val="24"/>
                <w:szCs w:val="24"/>
              </w:rPr>
              <w:t>Земельна ділянка забудована садо</w:t>
            </w:r>
            <w:r w:rsidR="00804965" w:rsidRPr="00804965">
              <w:rPr>
                <w:i/>
                <w:color w:val="auto"/>
                <w:sz w:val="24"/>
                <w:szCs w:val="24"/>
              </w:rPr>
              <w:t>вим будинком загальною площею 45,9</w:t>
            </w:r>
            <w:r w:rsidRPr="00804965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4965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804965">
              <w:rPr>
                <w:i/>
                <w:color w:val="auto"/>
                <w:sz w:val="24"/>
                <w:szCs w:val="24"/>
              </w:rPr>
              <w:t>, який належить на праві власності</w:t>
            </w:r>
            <w:r w:rsidRPr="00804965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804965" w:rsidRPr="00804965">
              <w:rPr>
                <w:bCs/>
                <w:i/>
                <w:color w:val="auto"/>
                <w:sz w:val="24"/>
                <w:szCs w:val="24"/>
              </w:rPr>
              <w:t>Музиці Олександру Олександровичу</w:t>
            </w:r>
            <w:r w:rsidRPr="00804965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804965" w:rsidRPr="00804965">
              <w:rPr>
                <w:i/>
                <w:color w:val="auto"/>
                <w:sz w:val="24"/>
                <w:szCs w:val="24"/>
              </w:rPr>
              <w:t>07.02.2024 № 364926670</w:t>
            </w:r>
            <w:r w:rsidRPr="00804965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 w:rsidR="00804965" w:rsidRPr="00804965">
              <w:rPr>
                <w:i/>
                <w:color w:val="auto"/>
                <w:sz w:val="24"/>
                <w:szCs w:val="24"/>
              </w:rPr>
              <w:t>нерухомого майна № 2312075880000</w:t>
            </w:r>
            <w:r w:rsidRPr="00804965">
              <w:rPr>
                <w:i/>
                <w:color w:val="auto"/>
                <w:sz w:val="24"/>
                <w:szCs w:val="24"/>
              </w:rPr>
              <w:t>, з</w:t>
            </w:r>
            <w:r w:rsidR="00804965" w:rsidRPr="00804965">
              <w:rPr>
                <w:i/>
                <w:color w:val="auto"/>
                <w:sz w:val="24"/>
                <w:szCs w:val="24"/>
              </w:rPr>
              <w:t>апис про право власності від 26</w:t>
            </w:r>
            <w:r w:rsidR="00F7303B">
              <w:rPr>
                <w:i/>
                <w:color w:val="auto"/>
                <w:sz w:val="24"/>
                <w:szCs w:val="24"/>
              </w:rPr>
              <w:t>.0</w:t>
            </w:r>
            <w:r w:rsidR="00804965" w:rsidRPr="00804965">
              <w:rPr>
                <w:i/>
                <w:color w:val="auto"/>
                <w:sz w:val="24"/>
                <w:szCs w:val="24"/>
              </w:rPr>
              <w:t>1</w:t>
            </w:r>
            <w:r w:rsidR="00F7303B">
              <w:rPr>
                <w:i/>
                <w:color w:val="auto"/>
                <w:sz w:val="24"/>
                <w:szCs w:val="24"/>
              </w:rPr>
              <w:t>.</w:t>
            </w:r>
            <w:bookmarkStart w:id="0" w:name="_GoBack"/>
            <w:bookmarkEnd w:id="0"/>
            <w:r w:rsidR="00804965" w:rsidRPr="00804965">
              <w:rPr>
                <w:i/>
                <w:color w:val="auto"/>
                <w:sz w:val="24"/>
                <w:szCs w:val="24"/>
              </w:rPr>
              <w:t>2023 № 49070810</w:t>
            </w:r>
            <w:r w:rsidRPr="00804965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37B41AC6" w:rsidR="00E12AC0" w:rsidRPr="00104BBD" w:rsidRDefault="00DD513E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D513E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DD513E">
              <w:rPr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DD513E">
              <w:rPr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804965" w:rsidRPr="00104BBD" w14:paraId="4AD110AD" w14:textId="77777777" w:rsidTr="0061239E">
        <w:trPr>
          <w:cantSplit/>
        </w:trPr>
        <w:tc>
          <w:tcPr>
            <w:tcW w:w="3515" w:type="dxa"/>
          </w:tcPr>
          <w:p w14:paraId="1CACF5C7" w14:textId="55602AB8" w:rsidR="00804965" w:rsidRDefault="00804965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04965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58F7293A" w14:textId="77777777" w:rsidR="00804965" w:rsidRPr="00804965" w:rsidRDefault="00804965" w:rsidP="008049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04965">
              <w:rPr>
                <w:rFonts w:ascii="Times New Roman" w:hAnsi="Times New Roman" w:cs="Times New Roman"/>
                <w:i/>
                <w:color w:val="auto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804965">
              <w:rPr>
                <w:rFonts w:ascii="Times New Roman" w:hAnsi="Times New Roman" w:cs="Times New Roman"/>
                <w:i/>
                <w:color w:val="auto"/>
              </w:rPr>
              <w:t>Осокорки</w:t>
            </w:r>
            <w:proofErr w:type="spellEnd"/>
            <w:r w:rsidRPr="00804965">
              <w:rPr>
                <w:rFonts w:ascii="Times New Roman" w:hAnsi="Times New Roman" w:cs="Times New Roman"/>
                <w:i/>
                <w:color w:val="auto"/>
              </w:rPr>
              <w:t xml:space="preserve"> Дарницького району м. Києва, зокрема і земельну ділянку площею 1,4505 га (кадастровий номер 8000000000:96:072:0001). Термін дії договору оренди земельної ділянки до 15.02.2032. </w:t>
            </w:r>
          </w:p>
          <w:p w14:paraId="1CF58EB5" w14:textId="4B52B613" w:rsidR="00804965" w:rsidRPr="00804965" w:rsidRDefault="00804965" w:rsidP="008049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04965">
              <w:rPr>
                <w:rFonts w:ascii="Times New Roman" w:hAnsi="Times New Roman" w:cs="Times New Roman"/>
                <w:i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18.05.2023 № 6375/6416, земельну ділянку площею            1,4505 га (кадастровий номер 8000000000:96:072:0001) поділено та сформовано 22 земельні ділянки, у тому числі і земельну ділянку площею 0,06</w:t>
            </w:r>
            <w:r w:rsidR="001E087B">
              <w:rPr>
                <w:rFonts w:ascii="Times New Roman" w:hAnsi="Times New Roman" w:cs="Times New Roman"/>
                <w:i/>
                <w:color w:val="auto"/>
              </w:rPr>
              <w:t>67</w:t>
            </w:r>
            <w:r w:rsidRPr="00804965">
              <w:rPr>
                <w:rFonts w:ascii="Times New Roman" w:hAnsi="Times New Roman" w:cs="Times New Roman"/>
                <w:i/>
                <w:color w:val="auto"/>
              </w:rPr>
              <w:t xml:space="preserve"> га з кадастрови</w:t>
            </w:r>
            <w:r w:rsidR="001E087B">
              <w:rPr>
                <w:rFonts w:ascii="Times New Roman" w:hAnsi="Times New Roman" w:cs="Times New Roman"/>
                <w:i/>
                <w:color w:val="auto"/>
              </w:rPr>
              <w:t>м номером 8000000000:96:072:0016</w:t>
            </w:r>
            <w:r w:rsidRPr="00804965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13707A2B" w14:textId="33155CCA" w:rsidR="00804965" w:rsidRPr="00804965" w:rsidRDefault="001E087B" w:rsidP="008049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Громадянин Музика О.О.</w:t>
            </w:r>
            <w:r w:rsidR="00804965" w:rsidRPr="00804965">
              <w:rPr>
                <w:rFonts w:ascii="Times New Roman" w:hAnsi="Times New Roman" w:cs="Times New Roman"/>
                <w:i/>
                <w:color w:val="auto"/>
              </w:rPr>
              <w:t xml:space="preserve"> є членом обслуговуючого кооперативу «Садово - дачний кооператив «Орхідея-3» (</w:t>
            </w:r>
            <w:r w:rsidR="003D0ED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довідка від 07.02.2023 № 515</w:t>
            </w:r>
            <w:r w:rsidR="00804965" w:rsidRPr="00804965">
              <w:rPr>
                <w:rFonts w:ascii="Times New Roman" w:hAnsi="Times New Roman" w:cs="Times New Roman"/>
                <w:i/>
                <w:color w:val="auto"/>
              </w:rPr>
              <w:t xml:space="preserve">). </w:t>
            </w:r>
            <w:proofErr w:type="spellStart"/>
            <w:r w:rsidR="00804965" w:rsidRPr="00804965">
              <w:rPr>
                <w:rFonts w:ascii="Times New Roman" w:hAnsi="Times New Roman" w:cs="Times New Roman"/>
                <w:i/>
                <w:color w:val="auto"/>
              </w:rPr>
              <w:t>Проєктом</w:t>
            </w:r>
            <w:proofErr w:type="spellEnd"/>
            <w:r w:rsidR="00804965" w:rsidRPr="00804965">
              <w:rPr>
                <w:rFonts w:ascii="Times New Roman" w:hAnsi="Times New Roman" w:cs="Times New Roman"/>
                <w:i/>
                <w:color w:val="auto"/>
              </w:rPr>
              <w:t xml:space="preserve"> рішення передбача</w:t>
            </w:r>
            <w:r w:rsidR="003D0EDA">
              <w:rPr>
                <w:rFonts w:ascii="Times New Roman" w:hAnsi="Times New Roman" w:cs="Times New Roman"/>
                <w:i/>
                <w:color w:val="auto"/>
              </w:rPr>
              <w:t>ється передати громадянину Музиці О.О.</w:t>
            </w:r>
            <w:r w:rsidR="00804965" w:rsidRPr="00804965">
              <w:rPr>
                <w:rFonts w:ascii="Times New Roman" w:hAnsi="Times New Roman" w:cs="Times New Roman"/>
                <w:i/>
                <w:color w:val="auto"/>
              </w:rPr>
              <w:t xml:space="preserve"> у власніст</w:t>
            </w:r>
            <w:r w:rsidR="003D0EDA">
              <w:rPr>
                <w:rFonts w:ascii="Times New Roman" w:hAnsi="Times New Roman" w:cs="Times New Roman"/>
                <w:i/>
                <w:color w:val="auto"/>
              </w:rPr>
              <w:t>ь земельну ділянку площею 0,0667</w:t>
            </w:r>
            <w:r w:rsidR="00804965" w:rsidRPr="00804965">
              <w:rPr>
                <w:rFonts w:ascii="Times New Roman" w:hAnsi="Times New Roman" w:cs="Times New Roman"/>
                <w:i/>
                <w:color w:val="auto"/>
              </w:rPr>
              <w:t xml:space="preserve"> га для ведення колективного садівництва в мікрорайоні </w:t>
            </w:r>
            <w:proofErr w:type="spellStart"/>
            <w:r w:rsidR="00804965" w:rsidRPr="00804965">
              <w:rPr>
                <w:rFonts w:ascii="Times New Roman" w:hAnsi="Times New Roman" w:cs="Times New Roman"/>
                <w:i/>
                <w:color w:val="auto"/>
              </w:rPr>
              <w:t>Осокорки</w:t>
            </w:r>
            <w:proofErr w:type="spellEnd"/>
            <w:r w:rsidR="00804965" w:rsidRPr="00804965">
              <w:rPr>
                <w:rFonts w:ascii="Times New Roman" w:hAnsi="Times New Roman" w:cs="Times New Roman"/>
                <w:i/>
                <w:color w:val="auto"/>
              </w:rPr>
              <w:t xml:space="preserve"> Дарницького району міста Києва.</w:t>
            </w:r>
          </w:p>
          <w:p w14:paraId="5D0B70E0" w14:textId="1DF00519" w:rsidR="00804965" w:rsidRPr="00804965" w:rsidRDefault="00804965" w:rsidP="008049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04965">
              <w:rPr>
                <w:rFonts w:ascii="Times New Roman" w:hAnsi="Times New Roman" w:cs="Times New Roman"/>
                <w:i/>
                <w:color w:val="auto"/>
              </w:rPr>
              <w:t>Нотар</w:t>
            </w:r>
            <w:r w:rsidR="003D0EDA">
              <w:rPr>
                <w:rFonts w:ascii="Times New Roman" w:hAnsi="Times New Roman" w:cs="Times New Roman"/>
                <w:i/>
                <w:color w:val="auto"/>
              </w:rPr>
              <w:t>іально засвідченою заявою від 15.02</w:t>
            </w:r>
            <w:r w:rsidRPr="00804965">
              <w:rPr>
                <w:rFonts w:ascii="Times New Roman" w:hAnsi="Times New Roman" w:cs="Times New Roman"/>
                <w:i/>
                <w:color w:val="auto"/>
              </w:rPr>
              <w:t>.2023, за</w:t>
            </w:r>
            <w:r w:rsidR="003D0EDA">
              <w:rPr>
                <w:rFonts w:ascii="Times New Roman" w:hAnsi="Times New Roman" w:cs="Times New Roman"/>
                <w:i/>
                <w:color w:val="auto"/>
              </w:rPr>
              <w:t>реєстрованою в реєстрі за № 250</w:t>
            </w:r>
            <w:r w:rsidRPr="00804965">
              <w:rPr>
                <w:rFonts w:ascii="Times New Roman" w:hAnsi="Times New Roman" w:cs="Times New Roman"/>
                <w:i/>
                <w:color w:val="auto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 w:rsidR="003D0EDA">
              <w:rPr>
                <w:rFonts w:ascii="Times New Roman" w:hAnsi="Times New Roman" w:cs="Times New Roman"/>
                <w:i/>
                <w:color w:val="auto"/>
              </w:rPr>
              <w:t xml:space="preserve"> земельної ділянки площею 0,0667</w:t>
            </w:r>
            <w:r w:rsidRPr="00804965">
              <w:rPr>
                <w:rFonts w:ascii="Times New Roman" w:hAnsi="Times New Roman" w:cs="Times New Roman"/>
                <w:i/>
                <w:color w:val="auto"/>
              </w:rPr>
              <w:t xml:space="preserve"> га (кадастровий номе</w:t>
            </w:r>
            <w:r w:rsidR="003D0EDA">
              <w:rPr>
                <w:rFonts w:ascii="Times New Roman" w:hAnsi="Times New Roman" w:cs="Times New Roman"/>
                <w:i/>
                <w:color w:val="auto"/>
              </w:rPr>
              <w:t>р ділянки 8000000000:96:072:0016</w:t>
            </w:r>
            <w:r w:rsidRPr="00804965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  <w:p w14:paraId="1AF6367E" w14:textId="77777777" w:rsidR="00804965" w:rsidRPr="00804965" w:rsidRDefault="00804965" w:rsidP="0080496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04965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25D92AF" w14:textId="77777777" w:rsidR="00804965" w:rsidRPr="00104BBD" w:rsidRDefault="00804965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54B1BF73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  <w:tc>
          <w:tcPr>
            <w:tcW w:w="6124" w:type="dxa"/>
          </w:tcPr>
          <w:p w14:paraId="6EB78C31" w14:textId="77777777" w:rsidR="00DD513E" w:rsidRPr="00DD513E" w:rsidRDefault="00DD513E" w:rsidP="00DD513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D513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128A1835" w:rsidR="00017352" w:rsidRPr="004B5AB7" w:rsidRDefault="00DD513E" w:rsidP="00DD513E">
            <w:pPr>
              <w:jc w:val="both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DD513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DD513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DD513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53645C3E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804965">
        <w:rPr>
          <w:color w:val="auto"/>
          <w:sz w:val="24"/>
          <w:szCs w:val="24"/>
        </w:rPr>
        <w:t>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423972F1" w14:textId="3F76DBD7" w:rsidR="00804965" w:rsidRDefault="00804965" w:rsidP="00804965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</w:rPr>
      </w:pPr>
      <w:proofErr w:type="spellStart"/>
      <w:r w:rsidRPr="00804965">
        <w:rPr>
          <w:sz w:val="24"/>
          <w:szCs w:val="24"/>
        </w:rPr>
        <w:t>Проєкт</w:t>
      </w:r>
      <w:proofErr w:type="spellEnd"/>
      <w:r w:rsidRPr="00804965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</w:t>
      </w:r>
      <w:r w:rsidR="004B5AB7">
        <w:rPr>
          <w:sz w:val="24"/>
          <w:szCs w:val="24"/>
        </w:rPr>
        <w:t>доступом в розумінні статті 6 Закону України</w:t>
      </w:r>
      <w:r w:rsidRPr="00804965">
        <w:rPr>
          <w:sz w:val="24"/>
          <w:szCs w:val="24"/>
        </w:rPr>
        <w:t xml:space="preserve"> «Про доступ до публічної інформації».</w:t>
      </w:r>
    </w:p>
    <w:p w14:paraId="309CF4B8" w14:textId="2E5306D2" w:rsidR="00D4076E" w:rsidRPr="00965A55" w:rsidRDefault="00D4076E" w:rsidP="00804965">
      <w:pPr>
        <w:pStyle w:val="1"/>
        <w:shd w:val="clear" w:color="auto" w:fill="auto"/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214508A0" w14:textId="180918FB" w:rsidR="00804965" w:rsidRPr="00804965" w:rsidRDefault="00804965" w:rsidP="00804965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Pr="00804965">
        <w:rPr>
          <w:rFonts w:ascii="Times New Roman" w:eastAsia="Times New Roman" w:hAnsi="Times New Roman" w:cs="Times New Roman"/>
          <w:color w:val="auto"/>
        </w:rPr>
        <w:t xml:space="preserve">Наслідками прийняття розробленого </w:t>
      </w:r>
      <w:proofErr w:type="spellStart"/>
      <w:r w:rsidRPr="00804965">
        <w:rPr>
          <w:rFonts w:ascii="Times New Roman" w:eastAsia="Times New Roman" w:hAnsi="Times New Roman" w:cs="Times New Roman"/>
          <w:color w:val="auto"/>
        </w:rPr>
        <w:t>проєкту</w:t>
      </w:r>
      <w:proofErr w:type="spellEnd"/>
      <w:r w:rsidRPr="00804965">
        <w:rPr>
          <w:rFonts w:ascii="Times New Roman" w:eastAsia="Times New Roman" w:hAnsi="Times New Roman" w:cs="Times New Roman"/>
          <w:color w:val="auto"/>
        </w:rPr>
        <w:t xml:space="preserve"> рішення стане реалізація громадянином своїх прав на оформлення земельної ділянки, яка перебуває у його користуванні.</w:t>
      </w:r>
    </w:p>
    <w:p w14:paraId="7878739F" w14:textId="77777777" w:rsidR="00804965" w:rsidRDefault="00804965" w:rsidP="00804965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6C00F4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68A2C760" w:rsidR="00862990" w:rsidRPr="007B7541" w:rsidRDefault="004A7340" w:rsidP="00804965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04965">
      <w:rPr>
        <w:sz w:val="12"/>
        <w:szCs w:val="12"/>
      </w:rPr>
      <w:t xml:space="preserve">                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6C00F4">
      <w:rPr>
        <w:sz w:val="12"/>
        <w:szCs w:val="12"/>
        <w:lang w:val="ru-RU"/>
      </w:rPr>
      <w:t>ПЗН-62231</w:t>
    </w:r>
    <w:r w:rsidR="00862990">
      <w:rPr>
        <w:sz w:val="12"/>
        <w:szCs w:val="12"/>
      </w:rPr>
      <w:t xml:space="preserve"> від </w:t>
    </w:r>
    <w:r w:rsidR="00200540" w:rsidRPr="006C00F4">
      <w:rPr>
        <w:sz w:val="12"/>
        <w:szCs w:val="12"/>
        <w:lang w:val="ru-RU"/>
      </w:rPr>
      <w:t>08.02.2024</w:t>
    </w:r>
    <w:r w:rsidR="00804965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494275657</w:t>
    </w:r>
    <w:r w:rsidR="00804965">
      <w:rPr>
        <w:sz w:val="12"/>
        <w:szCs w:val="12"/>
      </w:rPr>
      <w:t xml:space="preserve">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F7303B" w:rsidRPr="00F7303B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1E087B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3D0EDA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B5AB7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C00F4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04965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D618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513E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303B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F20C-B7DE-4B52-BB70-774C7541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6433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Левченко Ірина Богданівна</cp:lastModifiedBy>
  <cp:revision>8</cp:revision>
  <cp:lastPrinted>2021-11-25T14:48:00Z</cp:lastPrinted>
  <dcterms:created xsi:type="dcterms:W3CDTF">2024-02-08T09:54:00Z</dcterms:created>
  <dcterms:modified xsi:type="dcterms:W3CDTF">2024-02-09T07:54:00Z</dcterms:modified>
</cp:coreProperties>
</file>