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156" w14:textId="3D4C2D1E" w:rsidR="00D437FF" w:rsidRPr="005B2E25" w:rsidRDefault="003D4611" w:rsidP="00D22A91">
      <w:pPr>
        <w:pStyle w:val="50"/>
        <w:shd w:val="clear" w:color="auto" w:fill="auto"/>
        <w:ind w:right="2835"/>
        <w:jc w:val="center"/>
        <w:rPr>
          <w:sz w:val="36"/>
          <w:szCs w:val="36"/>
        </w:rPr>
      </w:pPr>
      <w:r w:rsidRPr="005B2E25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2F1DD65D" wp14:editId="5DB2174D">
                <wp:simplePos x="0" y="0"/>
                <wp:positionH relativeFrom="page">
                  <wp:posOffset>5334000</wp:posOffset>
                </wp:positionH>
                <wp:positionV relativeFrom="paragraph">
                  <wp:posOffset>-57150</wp:posOffset>
                </wp:positionV>
                <wp:extent cx="1567815" cy="32512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32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B39359" w14:textId="77777777" w:rsidR="00D437FF" w:rsidRPr="002E7F73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2E7F73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1286305" w14:textId="77777777" w:rsidR="00D437FF" w:rsidRPr="002E7F73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2E7F73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2E7F73">
                              <w:rPr>
                                <w:sz w:val="24"/>
                                <w:szCs w:val="24"/>
                              </w:rPr>
                              <w:t>500001170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D6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0pt;margin-top:-4.5pt;width:123.45pt;height:25.6pt;z-index:-37748710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" filled="f" stroked="f">
                <v:textbox inset="0,0,0,0">
                  <w:txbxContent>
                    <w:p w14:paraId="01B39359" w14:textId="77777777" w:rsidR="00D437FF" w:rsidRPr="002E7F73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2E7F73">
                        <w:rPr>
                          <w:bCs/>
                        </w:rPr>
                        <w:t>До справи</w:t>
                      </w:r>
                    </w:p>
                    <w:p w14:paraId="61286305" w14:textId="77777777" w:rsidR="00D437FF" w:rsidRPr="002E7F73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2E7F73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2E7F73">
                        <w:rPr>
                          <w:sz w:val="24"/>
                          <w:szCs w:val="24"/>
                        </w:rPr>
                        <w:t>500001170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B2E25">
        <w:rPr>
          <w:sz w:val="36"/>
          <w:szCs w:val="36"/>
        </w:rPr>
        <w:t>ПОЯСНЮВАЛЬНА ЗАПИСКА</w:t>
      </w:r>
    </w:p>
    <w:p w14:paraId="45CF4193" w14:textId="43B67EA1" w:rsidR="00D437FF" w:rsidRPr="005B2E25" w:rsidRDefault="001D64B2" w:rsidP="00982818">
      <w:pPr>
        <w:pStyle w:val="1"/>
        <w:shd w:val="clear" w:color="auto" w:fill="auto"/>
        <w:spacing w:after="0"/>
        <w:ind w:right="3118" w:firstLine="0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178820ED" wp14:editId="10AD20A9">
            <wp:simplePos x="0" y="0"/>
            <wp:positionH relativeFrom="column">
              <wp:posOffset>4642485</wp:posOffset>
            </wp:positionH>
            <wp:positionV relativeFrom="paragraph">
              <wp:posOffset>32385</wp:posOffset>
            </wp:positionV>
            <wp:extent cx="1047750" cy="990600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AE8" w:rsidRPr="005B2E25">
        <w:rPr>
          <w:b/>
          <w:bCs/>
          <w:sz w:val="24"/>
          <w:szCs w:val="24"/>
        </w:rPr>
        <w:t xml:space="preserve">№ </w:t>
      </w:r>
      <w:r w:rsidR="009C2A2F" w:rsidRPr="005B2E25">
        <w:rPr>
          <w:b/>
          <w:bCs/>
          <w:sz w:val="24"/>
          <w:szCs w:val="24"/>
          <w:lang w:val="en-US"/>
        </w:rPr>
        <w:t>ПЗН-43246</w:t>
      </w:r>
      <w:r w:rsidR="003D4611" w:rsidRPr="005B2E25">
        <w:rPr>
          <w:b/>
          <w:bCs/>
          <w:sz w:val="24"/>
          <w:szCs w:val="24"/>
        </w:rPr>
        <w:t xml:space="preserve"> від </w:t>
      </w:r>
      <w:r w:rsidR="006A770D" w:rsidRPr="005B2E25">
        <w:rPr>
          <w:b/>
          <w:bCs/>
          <w:sz w:val="24"/>
          <w:szCs w:val="24"/>
          <w:lang w:val="en-US"/>
        </w:rPr>
        <w:t>28.07.2022</w:t>
      </w:r>
    </w:p>
    <w:p w14:paraId="3B137C5E" w14:textId="3C146D3C" w:rsidR="00D437FF" w:rsidRPr="00FF7A49" w:rsidRDefault="003D4611" w:rsidP="00FF7A49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E00E70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0865B5" w:rsidRPr="005B2E25">
        <w:rPr>
          <w:noProof/>
          <w:sz w:val="24"/>
          <w:szCs w:val="24"/>
        </w:rPr>
        <w:t xml:space="preserve"> </w:t>
      </w:r>
      <w:r w:rsidRPr="005B2E25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FF7A49" w:rsidRPr="00FF7A49">
        <w:rPr>
          <w:rFonts w:ascii="Times New Roman" w:hAnsi="Times New Roman" w:cs="Times New Roman"/>
          <w:b/>
          <w:sz w:val="24"/>
          <w:szCs w:val="24"/>
        </w:rPr>
        <w:t xml:space="preserve">Про відмову </w:t>
      </w:r>
      <w:r w:rsidR="00FF7A49" w:rsidRPr="00FF7A49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ТОВАРИСТВУ З ОБМЕЖЕНОЮ ВІДПОВІДАЛЬНІСТЮ «ДНЕПР </w:t>
      </w:r>
      <w:r w:rsidR="00FF7A49" w:rsidRPr="00FF7A49">
        <w:rPr>
          <w:rFonts w:ascii="Times New Roman" w:hAnsi="Times New Roman" w:cs="Times New Roman"/>
          <w:b/>
          <w:sz w:val="24"/>
          <w:szCs w:val="24"/>
        </w:rPr>
        <w:t>АЛЬЯНС 5» у наданні дозволу на розроблення проєкту землеустрою щодо відведення земельної ділянки в оренду для експлуатації та обслуговування нежитлової будівлі на просп. Соборності, 5Д у Дніпровському районі міста Києва</w:t>
      </w:r>
    </w:p>
    <w:p w14:paraId="6DBDFBF5" w14:textId="3811005D" w:rsidR="00DA3E68" w:rsidRPr="00746639" w:rsidRDefault="003D4611" w:rsidP="0074663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CE1179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4"/>
        <w:gridCol w:w="7175"/>
      </w:tblGrid>
      <w:tr w:rsidR="00D437FF" w:rsidRPr="00CE1179" w14:paraId="5944D3BE" w14:textId="77777777" w:rsidTr="00746639">
        <w:trPr>
          <w:cantSplit/>
          <w:trHeight w:val="279"/>
        </w:trPr>
        <w:tc>
          <w:tcPr>
            <w:tcW w:w="2474" w:type="dxa"/>
            <w:shd w:val="clear" w:color="auto" w:fill="FFFFFF"/>
          </w:tcPr>
          <w:p w14:paraId="5AD54DBE" w14:textId="73729EA9" w:rsidR="00D437FF" w:rsidRPr="00CE1179" w:rsidRDefault="00D145D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CE1179">
              <w:rPr>
                <w:sz w:val="24"/>
                <w:szCs w:val="24"/>
              </w:rPr>
              <w:t>Назва</w:t>
            </w:r>
          </w:p>
        </w:tc>
        <w:tc>
          <w:tcPr>
            <w:tcW w:w="7175" w:type="dxa"/>
            <w:shd w:val="clear" w:color="auto" w:fill="FFFFFF"/>
          </w:tcPr>
          <w:p w14:paraId="44144917" w14:textId="77777777" w:rsidR="00D437FF" w:rsidRPr="00746639" w:rsidRDefault="004D4053" w:rsidP="00FF7A49">
            <w:pPr>
              <w:pStyle w:val="a7"/>
              <w:shd w:val="clear" w:color="auto" w:fill="auto"/>
              <w:spacing w:after="0"/>
              <w:ind w:left="74" w:right="272" w:firstLine="0"/>
              <w:jc w:val="both"/>
              <w:rPr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>ТОВАРИСТВО З ОБМЕЖЕНОЮ ВІДПОВІДАЛЬНІСТЮ «ДНЕПР АЛЬЯНС 5»</w:t>
            </w:r>
          </w:p>
        </w:tc>
      </w:tr>
      <w:tr w:rsidR="00FF7A49" w:rsidRPr="00CE1179" w14:paraId="09CC6F2B" w14:textId="77777777" w:rsidTr="00746639">
        <w:trPr>
          <w:cantSplit/>
          <w:trHeight w:val="639"/>
        </w:trPr>
        <w:tc>
          <w:tcPr>
            <w:tcW w:w="2474" w:type="dxa"/>
            <w:shd w:val="clear" w:color="auto" w:fill="FFFFFF"/>
          </w:tcPr>
          <w:p w14:paraId="407BF870" w14:textId="0F3DBD92" w:rsidR="00FF7A49" w:rsidRPr="00CE1179" w:rsidRDefault="00FF7A49" w:rsidP="00FF7A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179">
              <w:rPr>
                <w:sz w:val="24"/>
                <w:szCs w:val="24"/>
              </w:rPr>
              <w:t>Перелік засновників</w:t>
            </w:r>
          </w:p>
          <w:p w14:paraId="0C4D0879" w14:textId="4E9E4D66" w:rsidR="00FF7A49" w:rsidRPr="00AA7A3B" w:rsidRDefault="00FF7A49" w:rsidP="00FF7A49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179">
              <w:rPr>
                <w:sz w:val="24"/>
                <w:szCs w:val="24"/>
              </w:rPr>
              <w:t>(учасників)</w:t>
            </w:r>
            <w:r w:rsidRPr="00F554EA">
              <w:rPr>
                <w:sz w:val="18"/>
                <w:szCs w:val="18"/>
              </w:rPr>
              <w:t>*</w:t>
            </w:r>
          </w:p>
          <w:p w14:paraId="024AD138" w14:textId="77777777" w:rsidR="00FF7A49" w:rsidRPr="00CE1179" w:rsidRDefault="00FF7A49" w:rsidP="00FF7A49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7175" w:type="dxa"/>
            <w:shd w:val="clear" w:color="auto" w:fill="FFFFFF"/>
          </w:tcPr>
          <w:p w14:paraId="6F4C19CE" w14:textId="45C2097F" w:rsidR="00FF7A49" w:rsidRDefault="00FF7A49" w:rsidP="00FF7A49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>ДЖАФАРОВ ДЖАГАНКИР ОКТАЙ ОГЛИ, Місцезнаходження: Україна, 02206, м</w:t>
            </w:r>
            <w:r>
              <w:rPr>
                <w:i/>
                <w:sz w:val="24"/>
                <w:szCs w:val="24"/>
              </w:rPr>
              <w:t>.</w:t>
            </w:r>
            <w:r w:rsidRPr="00AF0145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вул.</w:t>
            </w:r>
            <w:r w:rsidRPr="00AF0145">
              <w:rPr>
                <w:i/>
                <w:sz w:val="24"/>
                <w:szCs w:val="24"/>
              </w:rPr>
              <w:t xml:space="preserve"> А. МАЛИШКА, 27, </w:t>
            </w:r>
            <w:r>
              <w:rPr>
                <w:i/>
                <w:sz w:val="24"/>
                <w:szCs w:val="24"/>
              </w:rPr>
              <w:t>кв.</w:t>
            </w:r>
            <w:r>
              <w:rPr>
                <w:i/>
                <w:sz w:val="24"/>
                <w:szCs w:val="24"/>
              </w:rPr>
              <w:t xml:space="preserve"> 216.</w:t>
            </w:r>
          </w:p>
          <w:p w14:paraId="5586F888" w14:textId="7E4A2268" w:rsidR="00FF7A49" w:rsidRDefault="00FF7A49" w:rsidP="00FF7A49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>ГОГІЧАЄВ ЗУРАБ САНОЄВИЧ, Місцезнаходження: Україна, 01033, м</w:t>
            </w:r>
            <w:r>
              <w:rPr>
                <w:i/>
                <w:sz w:val="24"/>
                <w:szCs w:val="24"/>
              </w:rPr>
              <w:t>.</w:t>
            </w:r>
            <w:r w:rsidRPr="00AF0145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вул.</w:t>
            </w:r>
            <w:r w:rsidRPr="00AF0145">
              <w:rPr>
                <w:i/>
                <w:sz w:val="24"/>
                <w:szCs w:val="24"/>
              </w:rPr>
              <w:t xml:space="preserve"> ТАРАСІВСЬКА, 30, </w:t>
            </w:r>
            <w:r>
              <w:rPr>
                <w:i/>
                <w:sz w:val="24"/>
                <w:szCs w:val="24"/>
              </w:rPr>
              <w:t>кв.</w:t>
            </w:r>
            <w:r>
              <w:rPr>
                <w:i/>
                <w:sz w:val="24"/>
                <w:szCs w:val="24"/>
              </w:rPr>
              <w:t xml:space="preserve"> 12.</w:t>
            </w:r>
          </w:p>
          <w:p w14:paraId="35F96D9F" w14:textId="7D16F36D" w:rsidR="00FF7A49" w:rsidRDefault="00FF7A49" w:rsidP="00FF7A49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 xml:space="preserve"> ОЛЕШКО ВОЛОДИМИР ПЕТРОВИЧ, Місцезнаходження: Україна, 02125, </w:t>
            </w:r>
            <w:r>
              <w:rPr>
                <w:i/>
                <w:sz w:val="24"/>
                <w:szCs w:val="24"/>
              </w:rPr>
              <w:t>м.</w:t>
            </w:r>
            <w:r w:rsidRPr="00AF0145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просп.</w:t>
            </w:r>
            <w:r w:rsidRPr="00AF0145">
              <w:rPr>
                <w:i/>
                <w:sz w:val="24"/>
                <w:szCs w:val="24"/>
              </w:rPr>
              <w:t xml:space="preserve"> АЛІШЕРА НАВОЇ, 69, </w:t>
            </w:r>
            <w:r>
              <w:rPr>
                <w:i/>
                <w:sz w:val="24"/>
                <w:szCs w:val="24"/>
              </w:rPr>
              <w:t>кв.</w:t>
            </w:r>
            <w:r>
              <w:rPr>
                <w:i/>
                <w:sz w:val="24"/>
                <w:szCs w:val="24"/>
              </w:rPr>
              <w:t xml:space="preserve"> 25.</w:t>
            </w:r>
          </w:p>
          <w:p w14:paraId="3CEF3C09" w14:textId="7485A257" w:rsidR="00FF7A49" w:rsidRDefault="00FF7A49" w:rsidP="00FF7A49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>БОРДЮГ ІГОР АНАТОЛІЙОВИЧ, Місцезнаходження: Україна, 02217, м</w:t>
            </w:r>
            <w:r>
              <w:rPr>
                <w:i/>
                <w:sz w:val="24"/>
                <w:szCs w:val="24"/>
              </w:rPr>
              <w:t>.</w:t>
            </w:r>
            <w:r w:rsidRPr="00AF0145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вул.</w:t>
            </w:r>
            <w:r w:rsidRPr="00AF0145">
              <w:rPr>
                <w:i/>
                <w:sz w:val="24"/>
                <w:szCs w:val="24"/>
              </w:rPr>
              <w:t xml:space="preserve"> ЗАКРЕВСЬКОГО, 31, </w:t>
            </w:r>
            <w:r>
              <w:rPr>
                <w:i/>
                <w:sz w:val="24"/>
                <w:szCs w:val="24"/>
              </w:rPr>
              <w:t>кв.</w:t>
            </w:r>
            <w:r w:rsidRPr="00AF0145">
              <w:rPr>
                <w:i/>
                <w:sz w:val="24"/>
                <w:szCs w:val="24"/>
              </w:rPr>
              <w:t xml:space="preserve"> 399</w:t>
            </w:r>
            <w:r>
              <w:rPr>
                <w:i/>
                <w:sz w:val="24"/>
                <w:szCs w:val="24"/>
              </w:rPr>
              <w:t>.</w:t>
            </w:r>
            <w:r w:rsidRPr="00AF0145">
              <w:rPr>
                <w:i/>
                <w:sz w:val="24"/>
                <w:szCs w:val="24"/>
              </w:rPr>
              <w:t xml:space="preserve"> </w:t>
            </w:r>
          </w:p>
          <w:p w14:paraId="0B48FADC" w14:textId="45B1ECA6" w:rsidR="00FF7A49" w:rsidRPr="00746639" w:rsidRDefault="00FF7A49" w:rsidP="00FF7A49">
            <w:pPr>
              <w:pStyle w:val="a7"/>
              <w:shd w:val="clear" w:color="auto" w:fill="auto"/>
              <w:spacing w:after="0"/>
              <w:ind w:left="74" w:right="272" w:firstLine="0"/>
              <w:jc w:val="both"/>
              <w:rPr>
                <w:i/>
                <w:iCs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>ВЛАДЕЦЬКИЙ БОРИС МИХАЙЛОВИЧ, Місцезнаходження: Україна, 02156, м</w:t>
            </w:r>
            <w:r>
              <w:rPr>
                <w:i/>
                <w:sz w:val="24"/>
                <w:szCs w:val="24"/>
              </w:rPr>
              <w:t>.</w:t>
            </w:r>
            <w:r w:rsidRPr="00AF0145">
              <w:rPr>
                <w:i/>
                <w:sz w:val="24"/>
                <w:szCs w:val="24"/>
              </w:rPr>
              <w:t xml:space="preserve"> Київ, </w:t>
            </w:r>
            <w:r>
              <w:rPr>
                <w:i/>
                <w:sz w:val="24"/>
                <w:szCs w:val="24"/>
              </w:rPr>
              <w:t>вул.</w:t>
            </w:r>
            <w:r w:rsidRPr="00AF0145">
              <w:rPr>
                <w:i/>
                <w:sz w:val="24"/>
                <w:szCs w:val="24"/>
              </w:rPr>
              <w:t xml:space="preserve"> ШОЛОМ АЛЕЙХЕМА, 22, </w:t>
            </w:r>
            <w:r>
              <w:rPr>
                <w:i/>
                <w:sz w:val="24"/>
                <w:szCs w:val="24"/>
              </w:rPr>
              <w:t>кв.</w:t>
            </w:r>
            <w:r>
              <w:rPr>
                <w:i/>
                <w:sz w:val="24"/>
                <w:szCs w:val="24"/>
              </w:rPr>
              <w:t xml:space="preserve"> 135.</w:t>
            </w:r>
          </w:p>
        </w:tc>
      </w:tr>
      <w:tr w:rsidR="00FF7A49" w:rsidRPr="00CE1179" w14:paraId="2E4DB7E3" w14:textId="77777777" w:rsidTr="000D71FC">
        <w:trPr>
          <w:cantSplit/>
          <w:trHeight w:val="992"/>
        </w:trPr>
        <w:tc>
          <w:tcPr>
            <w:tcW w:w="2474" w:type="dxa"/>
            <w:shd w:val="clear" w:color="auto" w:fill="FFFFFF"/>
          </w:tcPr>
          <w:p w14:paraId="3EE7E84A" w14:textId="77777777" w:rsidR="00FF7A49" w:rsidRDefault="00FF7A49" w:rsidP="000D71FC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179">
              <w:rPr>
                <w:sz w:val="24"/>
                <w:szCs w:val="24"/>
              </w:rPr>
              <w:t xml:space="preserve">Кінцевий </w:t>
            </w:r>
            <w:r>
              <w:rPr>
                <w:sz w:val="24"/>
                <w:szCs w:val="24"/>
              </w:rPr>
              <w:t xml:space="preserve"> </w:t>
            </w:r>
          </w:p>
          <w:p w14:paraId="61C728D6" w14:textId="77777777" w:rsidR="00FF7A49" w:rsidRPr="00CE1179" w:rsidRDefault="00FF7A49" w:rsidP="000D71FC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179">
              <w:rPr>
                <w:sz w:val="24"/>
                <w:szCs w:val="24"/>
              </w:rPr>
              <w:t>бенефіціарний</w:t>
            </w:r>
          </w:p>
          <w:p w14:paraId="30767E4C" w14:textId="77777777" w:rsidR="00FF7A49" w:rsidRPr="00CE1179" w:rsidRDefault="00FF7A49" w:rsidP="000D71FC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179">
              <w:rPr>
                <w:sz w:val="24"/>
                <w:szCs w:val="24"/>
              </w:rPr>
              <w:t>власник (контролер)</w:t>
            </w:r>
            <w:r w:rsidRPr="00F554EA">
              <w:rPr>
                <w:sz w:val="18"/>
                <w:szCs w:val="18"/>
              </w:rPr>
              <w:t>*</w:t>
            </w:r>
            <w:r w:rsidRPr="00CE11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5" w:type="dxa"/>
            <w:shd w:val="clear" w:color="auto" w:fill="FFFFFF"/>
          </w:tcPr>
          <w:p w14:paraId="4CD7FA4F" w14:textId="77777777" w:rsidR="00FF7A49" w:rsidRDefault="00FF7A49" w:rsidP="000D71FC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ДЖАФАРОВ ДЖАГАНКИР ОКТАЙ ОГЛИ.</w:t>
            </w:r>
          </w:p>
          <w:p w14:paraId="14AA743B" w14:textId="77777777" w:rsidR="00FF7A49" w:rsidRDefault="00FF7A49" w:rsidP="000D71FC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 xml:space="preserve">ГОГІЧАЄВ ЗУРАБ САНОЄВИЧ, </w:t>
            </w:r>
          </w:p>
          <w:p w14:paraId="6A39B281" w14:textId="77777777" w:rsidR="00FF7A49" w:rsidRDefault="00FF7A49" w:rsidP="000D71FC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 xml:space="preserve">ОЛЕШКО ВОЛОДИМИР ПЕТРОВИЧ, </w:t>
            </w:r>
          </w:p>
          <w:p w14:paraId="4281EC1C" w14:textId="77777777" w:rsidR="00FF7A49" w:rsidRDefault="00FF7A49" w:rsidP="000D71FC">
            <w:pPr>
              <w:pStyle w:val="a5"/>
              <w:shd w:val="clear" w:color="auto" w:fill="auto"/>
              <w:ind w:left="74" w:right="272"/>
              <w:jc w:val="both"/>
              <w:rPr>
                <w:i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 xml:space="preserve">БОРДЮГ ІГОР АНАТОЛІЙОВИЧ, </w:t>
            </w:r>
          </w:p>
          <w:p w14:paraId="0D4BC192" w14:textId="77777777" w:rsidR="00FF7A49" w:rsidRPr="00746639" w:rsidRDefault="00FF7A49" w:rsidP="000D71FC">
            <w:pPr>
              <w:pStyle w:val="a5"/>
              <w:shd w:val="clear" w:color="auto" w:fill="auto"/>
              <w:ind w:left="74" w:right="272"/>
              <w:jc w:val="both"/>
              <w:rPr>
                <w:i/>
                <w:iCs/>
                <w:sz w:val="24"/>
                <w:szCs w:val="24"/>
              </w:rPr>
            </w:pPr>
            <w:r w:rsidRPr="00AF0145">
              <w:rPr>
                <w:i/>
                <w:sz w:val="24"/>
                <w:szCs w:val="24"/>
              </w:rPr>
              <w:t xml:space="preserve">ВЛАДЕЦЬКИЙ БОРИС МИХАЙЛОВИЧ, </w:t>
            </w:r>
          </w:p>
        </w:tc>
      </w:tr>
      <w:tr w:rsidR="00FF7A49" w:rsidRPr="00CE1179" w14:paraId="59C78348" w14:textId="77777777" w:rsidTr="00FF7A49">
        <w:trPr>
          <w:cantSplit/>
          <w:trHeight w:val="349"/>
        </w:trPr>
        <w:tc>
          <w:tcPr>
            <w:tcW w:w="2474" w:type="dxa"/>
            <w:shd w:val="clear" w:color="auto" w:fill="FFFFFF"/>
          </w:tcPr>
          <w:p w14:paraId="19F19280" w14:textId="74AF3742" w:rsidR="00FF7A49" w:rsidRPr="00CE1179" w:rsidRDefault="00237993" w:rsidP="00FF7A49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F7A49">
              <w:rPr>
                <w:sz w:val="24"/>
                <w:szCs w:val="24"/>
              </w:rPr>
              <w:t>Клопотання</w:t>
            </w:r>
            <w:r w:rsidR="00FF7A4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175" w:type="dxa"/>
            <w:shd w:val="clear" w:color="auto" w:fill="FFFFFF"/>
          </w:tcPr>
          <w:p w14:paraId="638E00F4" w14:textId="65AE3724" w:rsidR="00FF7A49" w:rsidRPr="00746639" w:rsidRDefault="00FF7A49" w:rsidP="00FF7A49">
            <w:pPr>
              <w:pStyle w:val="a5"/>
              <w:shd w:val="clear" w:color="auto" w:fill="auto"/>
              <w:ind w:left="74" w:right="272"/>
              <w:jc w:val="both"/>
              <w:rPr>
                <w:i/>
                <w:iCs/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>від 22.07.2022 № 500001170</w:t>
            </w:r>
          </w:p>
        </w:tc>
      </w:tr>
    </w:tbl>
    <w:p w14:paraId="5604378C" w14:textId="77777777" w:rsidR="00D437FF" w:rsidRPr="00CE1179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E6EDE87" w14:textId="77777777" w:rsidR="00297226" w:rsidRPr="00297226" w:rsidRDefault="00297226" w:rsidP="00FF7A4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4DC122D5" w14:textId="57A78CF2" w:rsidR="00297226" w:rsidRPr="000E6113" w:rsidRDefault="003D4611" w:rsidP="000E6113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 xml:space="preserve">Відомості про земельну ділянку </w:t>
      </w:r>
      <w:r w:rsidR="008F1609" w:rsidRPr="00CE1179">
        <w:rPr>
          <w:b/>
          <w:bCs/>
          <w:sz w:val="24"/>
          <w:szCs w:val="24"/>
        </w:rPr>
        <w:t>8000000000:63:085:0039</w:t>
      </w:r>
      <w:r w:rsidRPr="00CE1179">
        <w:rPr>
          <w:b/>
          <w:bCs/>
          <w:sz w:val="24"/>
          <w:szCs w:val="24"/>
        </w:rPr>
        <w:t>к</w:t>
      </w:r>
      <w:r w:rsidR="006D4E84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297226" w14:paraId="7EC4AC8B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AA48" w14:textId="77777777" w:rsidR="00D145DD" w:rsidRDefault="00297226" w:rsidP="00746639">
            <w:pPr>
              <w:pStyle w:val="1"/>
              <w:shd w:val="clear" w:color="auto" w:fill="auto"/>
              <w:ind w:left="-142" w:firstLine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розташування </w:t>
            </w:r>
            <w:r w:rsidR="00D145DD">
              <w:rPr>
                <w:sz w:val="24"/>
                <w:szCs w:val="24"/>
              </w:rPr>
              <w:t xml:space="preserve"> </w:t>
            </w:r>
          </w:p>
          <w:p w14:paraId="0FD43787" w14:textId="2EF6B97F" w:rsidR="00297226" w:rsidRDefault="00297226" w:rsidP="00746639">
            <w:pPr>
              <w:pStyle w:val="1"/>
              <w:shd w:val="clear" w:color="auto" w:fill="auto"/>
              <w:ind w:left="-142" w:firstLine="89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(адреса)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F7AE" w14:textId="77777777" w:rsidR="00297226" w:rsidRPr="00746639" w:rsidRDefault="00297226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</w:rPr>
              <w:t>м. Київ, р-н Дніпровський, просп. Соборності, 5Д</w:t>
            </w:r>
          </w:p>
        </w:tc>
      </w:tr>
      <w:tr w:rsidR="00297226" w14:paraId="57EE37C3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44A2" w14:textId="77777777" w:rsidR="00297226" w:rsidRDefault="00297226" w:rsidP="00746639">
            <w:pPr>
              <w:pStyle w:val="a5"/>
              <w:shd w:val="clear" w:color="auto" w:fill="auto"/>
              <w:ind w:left="-142" w:firstLine="89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Площа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E9AD" w14:textId="52E42D24" w:rsidR="00297226" w:rsidRPr="00746639" w:rsidRDefault="000E6113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sz w:val="24"/>
                <w:szCs w:val="24"/>
                <w:shd w:val="clear" w:color="auto" w:fill="FFFFFF"/>
              </w:rPr>
              <w:t>0,45</w:t>
            </w:r>
            <w:r w:rsidR="00DA3E68" w:rsidRPr="00746639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297226" w14:paraId="6671B985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A3B" w14:textId="5BA7CC92" w:rsidR="00297226" w:rsidRDefault="00297226" w:rsidP="00FF7A49">
            <w:pPr>
              <w:pStyle w:val="30"/>
              <w:shd w:val="clear" w:color="auto" w:fill="auto"/>
              <w:spacing w:after="80" w:line="240" w:lineRule="auto"/>
              <w:ind w:hanging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та термін </w:t>
            </w:r>
            <w:r w:rsidR="00D145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користування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5FA8" w14:textId="77777777" w:rsidR="00237993" w:rsidRDefault="00237993" w:rsidP="0074663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14:paraId="293B63D5" w14:textId="05012447" w:rsidR="00297226" w:rsidRPr="00746639" w:rsidRDefault="00FF7A49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i/>
                <w:sz w:val="24"/>
                <w:szCs w:val="24"/>
              </w:rPr>
              <w:t>оренда на 20 років</w:t>
            </w:r>
          </w:p>
        </w:tc>
      </w:tr>
      <w:tr w:rsidR="00297226" w14:paraId="7CDE6164" w14:textId="77777777" w:rsidTr="0074663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06AC" w14:textId="77777777" w:rsidR="00297226" w:rsidRDefault="00297226" w:rsidP="00746639">
            <w:pPr>
              <w:pStyle w:val="a5"/>
              <w:shd w:val="clear" w:color="auto" w:fill="auto"/>
              <w:ind w:left="-142" w:firstLine="89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Вид використання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C8C7" w14:textId="77777777" w:rsidR="00297226" w:rsidRPr="00746639" w:rsidRDefault="00297226" w:rsidP="0074663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746639">
              <w:rPr>
                <w:i/>
                <w:iCs/>
                <w:sz w:val="24"/>
                <w:szCs w:val="24"/>
                <w:lang w:val="en-US"/>
              </w:rPr>
              <w:t>для експлуатації та обслуговування нежитлової будівлі</w:t>
            </w:r>
          </w:p>
        </w:tc>
      </w:tr>
    </w:tbl>
    <w:p w14:paraId="1EFE6868" w14:textId="77777777" w:rsidR="00297226" w:rsidRPr="00CE1179" w:rsidRDefault="00297226" w:rsidP="0029722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63D6FF00" w14:textId="24028CF0" w:rsidR="00D437FF" w:rsidRPr="00CE1179" w:rsidRDefault="003D4611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Обґрунтування прийняття рішення</w:t>
      </w:r>
      <w:r w:rsidR="00DA3E68">
        <w:rPr>
          <w:b/>
          <w:bCs/>
          <w:sz w:val="24"/>
          <w:szCs w:val="24"/>
        </w:rPr>
        <w:t>.</w:t>
      </w:r>
    </w:p>
    <w:p w14:paraId="4A018D79" w14:textId="59B2CE07" w:rsidR="00D437FF" w:rsidRPr="00CE1179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E1179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1C3ED7" w:rsidRPr="001C3ED7">
        <w:rPr>
          <w:sz w:val="24"/>
          <w:szCs w:val="24"/>
        </w:rPr>
        <w:t>Київської міської ради</w:t>
      </w:r>
      <w:r w:rsidRPr="00CE1179">
        <w:rPr>
          <w:sz w:val="24"/>
          <w:szCs w:val="24"/>
        </w:rPr>
        <w:t xml:space="preserve"> від 20</w:t>
      </w:r>
      <w:r w:rsidR="004A529A">
        <w:rPr>
          <w:sz w:val="24"/>
          <w:szCs w:val="24"/>
        </w:rPr>
        <w:t>.04.</w:t>
      </w:r>
      <w:r w:rsidRPr="00CE1179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E00E70">
        <w:rPr>
          <w:sz w:val="24"/>
          <w:szCs w:val="24"/>
        </w:rPr>
        <w:t>проєкт</w:t>
      </w:r>
      <w:r w:rsidRPr="00CE1179">
        <w:rPr>
          <w:sz w:val="24"/>
          <w:szCs w:val="24"/>
        </w:rPr>
        <w:t xml:space="preserve"> рішення Київської міської ради.</w:t>
      </w:r>
    </w:p>
    <w:p w14:paraId="1A0361E0" w14:textId="77777777" w:rsidR="000E6113" w:rsidRPr="000E6113" w:rsidRDefault="000E6113" w:rsidP="000E6113">
      <w:pPr>
        <w:pStyle w:val="1"/>
        <w:shd w:val="clear" w:color="auto" w:fill="auto"/>
        <w:tabs>
          <w:tab w:val="left" w:pos="671"/>
        </w:tabs>
        <w:spacing w:after="0" w:line="228" w:lineRule="auto"/>
        <w:ind w:left="400" w:firstLine="0"/>
        <w:rPr>
          <w:sz w:val="24"/>
          <w:szCs w:val="24"/>
        </w:rPr>
      </w:pPr>
    </w:p>
    <w:p w14:paraId="389D3911" w14:textId="7D4D5002" w:rsidR="00D437FF" w:rsidRPr="00CE1179" w:rsidRDefault="003D4611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Мета прийняття рішення.</w:t>
      </w:r>
    </w:p>
    <w:p w14:paraId="02A3206A" w14:textId="4E859AB0" w:rsidR="00D437FF" w:rsidRDefault="003D4611" w:rsidP="00F554EA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E1179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(власності) на землю.</w:t>
      </w:r>
    </w:p>
    <w:p w14:paraId="768C3CB5" w14:textId="7B815C62" w:rsidR="00FF7A49" w:rsidRDefault="00FF7A49" w:rsidP="00F554EA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8C749C4" w14:textId="22674310" w:rsidR="00FF7A49" w:rsidRPr="00FF7A49" w:rsidRDefault="00FF7A49" w:rsidP="00FF7A49">
      <w:pPr>
        <w:pStyle w:val="a5"/>
        <w:shd w:val="clear" w:color="auto" w:fill="auto"/>
        <w:ind w:left="426"/>
        <w:rPr>
          <w:b/>
          <w:sz w:val="24"/>
          <w:szCs w:val="24"/>
        </w:rPr>
      </w:pPr>
      <w:r w:rsidRPr="00FF7A49">
        <w:rPr>
          <w:b/>
          <w:sz w:val="24"/>
          <w:szCs w:val="24"/>
        </w:rPr>
        <w:lastRenderedPageBreak/>
        <w:t>5</w:t>
      </w:r>
      <w:r w:rsidRPr="00FF7A49">
        <w:rPr>
          <w:b/>
          <w:sz w:val="24"/>
          <w:szCs w:val="24"/>
        </w:rPr>
        <w:t>. 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3"/>
      </w:tblGrid>
      <w:tr w:rsidR="00FF7A49" w:rsidRPr="00E14097" w14:paraId="6A0DABCF" w14:textId="77777777" w:rsidTr="000D71FC">
        <w:trPr>
          <w:cantSplit/>
          <w:trHeight w:val="560"/>
        </w:trPr>
        <w:tc>
          <w:tcPr>
            <w:tcW w:w="2696" w:type="dxa"/>
          </w:tcPr>
          <w:p w14:paraId="2065C144" w14:textId="77777777" w:rsidR="00FF7A49" w:rsidRPr="00E14097" w:rsidRDefault="00FF7A49" w:rsidP="000D71FC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7053" w:type="dxa"/>
          </w:tcPr>
          <w:p w14:paraId="7AB4181B" w14:textId="764A7842" w:rsidR="00FF7A49" w:rsidRPr="00082414" w:rsidRDefault="00FF7A49" w:rsidP="001F1B7F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sz w:val="24"/>
                <w:szCs w:val="24"/>
              </w:rPr>
              <w:t xml:space="preserve">Земельна ділянка вільна від капітальної забудови. До клопотання долучено копії договорів купівлі - продажу частин нежитлової будівлі від 08.08.2016 №№ 2191, 2188, яка перебуває у приватній власності ТОВАРИСТВА З ОБМЕЖЕНОЮ ВІДПОВІДАЛЬНІСТЮ «ДНЕПР АЛЬЯНС 5». Працівниками Департаменту було проведено обстеження земельної ділянки та встановлено, що ознак нежитлової будівлі на земельній ділянці не виявлено, про що складено акт обстеження земельної ділянки </w:t>
            </w:r>
            <w:r w:rsidR="00082414">
              <w:rPr>
                <w:i/>
                <w:sz w:val="24"/>
                <w:szCs w:val="24"/>
              </w:rPr>
              <w:t xml:space="preserve">            </w:t>
            </w:r>
            <w:r w:rsidRPr="00082414">
              <w:rPr>
                <w:i/>
                <w:sz w:val="24"/>
                <w:szCs w:val="24"/>
              </w:rPr>
              <w:t>від 25.10.2021 № 21-0746-04.</w:t>
            </w:r>
          </w:p>
        </w:tc>
      </w:tr>
      <w:tr w:rsidR="00FF7A49" w:rsidRPr="00E14097" w14:paraId="32C4362B" w14:textId="77777777" w:rsidTr="000D71FC">
        <w:trPr>
          <w:cantSplit/>
          <w:trHeight w:val="295"/>
        </w:trPr>
        <w:tc>
          <w:tcPr>
            <w:tcW w:w="2696" w:type="dxa"/>
          </w:tcPr>
          <w:p w14:paraId="29850289" w14:textId="77777777" w:rsidR="00FF7A49" w:rsidRPr="00E14097" w:rsidRDefault="00FF7A49" w:rsidP="000D71FC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3" w:type="dxa"/>
          </w:tcPr>
          <w:p w14:paraId="6EBF0F8B" w14:textId="4D01DC84" w:rsidR="00FF7A49" w:rsidRPr="00082414" w:rsidRDefault="00FF7A49" w:rsidP="00082414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sz w:val="24"/>
                <w:szCs w:val="24"/>
              </w:rPr>
              <w:t xml:space="preserve">Відповідно до детального плану території в межах проспекту Возз'єднання, Харківського шосе, залізничної колії, вулиці Академіка Шліхтера у Дніпровському районі м. Києва, затвердженого рішенням Київської міської ради від 23.07.2015 </w:t>
            </w:r>
            <w:r w:rsidR="001F1B7F" w:rsidRPr="00082414">
              <w:rPr>
                <w:i/>
                <w:sz w:val="24"/>
                <w:szCs w:val="24"/>
              </w:rPr>
              <w:t xml:space="preserve">           </w:t>
            </w:r>
            <w:r w:rsidRPr="00082414">
              <w:rPr>
                <w:i/>
                <w:sz w:val="24"/>
                <w:szCs w:val="24"/>
              </w:rPr>
              <w:t>№ 825/1689 земельна ділянка за функціональним призначенням належить до території зелених насаджень загального користування</w:t>
            </w:r>
            <w:r w:rsidR="00082414" w:rsidRPr="00082414">
              <w:rPr>
                <w:i/>
                <w:sz w:val="24"/>
                <w:szCs w:val="24"/>
              </w:rPr>
              <w:t xml:space="preserve"> </w:t>
            </w:r>
            <w:r w:rsidR="00082414" w:rsidRPr="00082414">
              <w:rPr>
                <w:i/>
                <w:snapToGrid w:val="0"/>
                <w:sz w:val="24"/>
                <w:szCs w:val="24"/>
              </w:rPr>
              <w:t xml:space="preserve">(лист Департаменту містобудування та архітектури виконавчого органу Київської міської ради (Київської міської </w:t>
            </w:r>
            <w:r w:rsidR="00082414">
              <w:rPr>
                <w:i/>
                <w:snapToGrid w:val="0"/>
                <w:sz w:val="24"/>
                <w:szCs w:val="24"/>
              </w:rPr>
              <w:t>державної адміністрації) від 22.07.</w:t>
            </w:r>
            <w:r w:rsidR="00082414" w:rsidRPr="00082414">
              <w:rPr>
                <w:i/>
                <w:snapToGrid w:val="0"/>
                <w:sz w:val="24"/>
                <w:szCs w:val="24"/>
              </w:rPr>
              <w:t xml:space="preserve">2022 </w:t>
            </w:r>
            <w:r w:rsidR="00082414">
              <w:rPr>
                <w:i/>
                <w:snapToGrid w:val="0"/>
                <w:sz w:val="24"/>
                <w:szCs w:val="24"/>
              </w:rPr>
              <w:t xml:space="preserve">                   </w:t>
            </w:r>
            <w:r w:rsidR="00082414" w:rsidRPr="00082414">
              <w:rPr>
                <w:i/>
                <w:snapToGrid w:val="0"/>
                <w:sz w:val="24"/>
                <w:szCs w:val="24"/>
              </w:rPr>
              <w:t>№ 055-4165)</w:t>
            </w:r>
            <w:r w:rsidRPr="00082414">
              <w:rPr>
                <w:i/>
                <w:sz w:val="24"/>
                <w:szCs w:val="24"/>
              </w:rPr>
              <w:t>.</w:t>
            </w:r>
          </w:p>
        </w:tc>
      </w:tr>
      <w:tr w:rsidR="00FF7A49" w:rsidRPr="00E14097" w14:paraId="1314948B" w14:textId="77777777" w:rsidTr="000D71FC">
        <w:trPr>
          <w:cantSplit/>
          <w:trHeight w:val="840"/>
        </w:trPr>
        <w:tc>
          <w:tcPr>
            <w:tcW w:w="2696" w:type="dxa"/>
          </w:tcPr>
          <w:p w14:paraId="2C5ECE0A" w14:textId="77777777" w:rsidR="00FF7A49" w:rsidRPr="00E14097" w:rsidRDefault="00FF7A49" w:rsidP="000D71FC">
            <w:pPr>
              <w:pStyle w:val="a5"/>
              <w:rPr>
                <w:b/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Функціональне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14097">
              <w:rPr>
                <w:i/>
                <w:sz w:val="24"/>
                <w:szCs w:val="24"/>
              </w:rPr>
              <w:t>призначення</w:t>
            </w:r>
            <w:r w:rsidRPr="000910F3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910F3">
              <w:rPr>
                <w:i/>
                <w:sz w:val="24"/>
                <w:szCs w:val="24"/>
              </w:rPr>
              <w:t>згідно з Генпланом:</w:t>
            </w:r>
          </w:p>
        </w:tc>
        <w:tc>
          <w:tcPr>
            <w:tcW w:w="7053" w:type="dxa"/>
          </w:tcPr>
          <w:p w14:paraId="4C1314DF" w14:textId="77777777" w:rsidR="00FF7A49" w:rsidRPr="00082414" w:rsidRDefault="00FF7A49" w:rsidP="000D71FC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sz w:val="24"/>
                <w:szCs w:val="24"/>
              </w:rPr>
              <w:t>Відповідно до Генерального плану м. Києва, затвердженого рішенням Київської міської ради від 28 березня 2002 року             № 370/1804, земельна ділянка за функціональним призначенням належить до території житлової середньо- та малоповерхової забудови.</w:t>
            </w:r>
          </w:p>
        </w:tc>
      </w:tr>
      <w:tr w:rsidR="00FF7A49" w:rsidRPr="00E14097" w14:paraId="46AD177D" w14:textId="77777777" w:rsidTr="000D71FC">
        <w:trPr>
          <w:cantSplit/>
          <w:trHeight w:val="280"/>
        </w:trPr>
        <w:tc>
          <w:tcPr>
            <w:tcW w:w="2696" w:type="dxa"/>
          </w:tcPr>
          <w:p w14:paraId="179350B2" w14:textId="77777777" w:rsidR="00FF7A49" w:rsidRPr="00E14097" w:rsidRDefault="00FF7A49" w:rsidP="000D71FC">
            <w:pPr>
              <w:pStyle w:val="a5"/>
              <w:shd w:val="clear" w:color="auto" w:fill="auto"/>
              <w:rPr>
                <w:b/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3" w:type="dxa"/>
          </w:tcPr>
          <w:p w14:paraId="098B78FC" w14:textId="77777777" w:rsidR="00FF7A49" w:rsidRPr="00082414" w:rsidRDefault="00FF7A49" w:rsidP="000D71FC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sz w:val="24"/>
                <w:szCs w:val="24"/>
              </w:rPr>
              <w:t>Земельна ділянка відносяться до земель комунальної власності територіальної громади міста Києва.</w:t>
            </w:r>
          </w:p>
        </w:tc>
      </w:tr>
      <w:tr w:rsidR="00FF7A49" w:rsidRPr="00E14097" w14:paraId="09EC9DC9" w14:textId="77777777" w:rsidTr="000D71FC">
        <w:trPr>
          <w:cantSplit/>
          <w:trHeight w:val="575"/>
        </w:trPr>
        <w:tc>
          <w:tcPr>
            <w:tcW w:w="2696" w:type="dxa"/>
          </w:tcPr>
          <w:p w14:paraId="796AFC3C" w14:textId="77777777" w:rsidR="00FF7A49" w:rsidRPr="00E14097" w:rsidRDefault="00FF7A49" w:rsidP="000D71FC">
            <w:pPr>
              <w:pStyle w:val="a5"/>
              <w:rPr>
                <w:b/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Розташування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14097">
              <w:rPr>
                <w:i/>
                <w:sz w:val="24"/>
                <w:szCs w:val="24"/>
              </w:rPr>
              <w:t>в зеленій зоні:</w:t>
            </w:r>
          </w:p>
        </w:tc>
        <w:tc>
          <w:tcPr>
            <w:tcW w:w="7053" w:type="dxa"/>
          </w:tcPr>
          <w:p w14:paraId="185B843C" w14:textId="2E6188A3" w:rsidR="00FF7A49" w:rsidRPr="00082414" w:rsidRDefault="00082414" w:rsidP="000D71FC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sz w:val="24"/>
                <w:szCs w:val="24"/>
              </w:rPr>
              <w:t>За даними Міського земельного кадастру земельна ділянка входить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</w:t>
            </w:r>
          </w:p>
        </w:tc>
      </w:tr>
      <w:tr w:rsidR="00FF7A49" w:rsidRPr="00E14097" w14:paraId="1FCDD1B1" w14:textId="77777777" w:rsidTr="000D71FC">
        <w:trPr>
          <w:cantSplit/>
          <w:trHeight w:val="280"/>
        </w:trPr>
        <w:tc>
          <w:tcPr>
            <w:tcW w:w="2696" w:type="dxa"/>
          </w:tcPr>
          <w:p w14:paraId="556DCD08" w14:textId="77777777" w:rsidR="00FF7A49" w:rsidRPr="002A6A07" w:rsidRDefault="00FF7A49" w:rsidP="000D71FC">
            <w:pPr>
              <w:pStyle w:val="a5"/>
              <w:rPr>
                <w:b/>
                <w:i/>
                <w:sz w:val="24"/>
                <w:szCs w:val="24"/>
              </w:rPr>
            </w:pPr>
            <w:r w:rsidRPr="002A6A07">
              <w:rPr>
                <w:i/>
                <w:sz w:val="24"/>
                <w:szCs w:val="24"/>
              </w:rPr>
              <w:lastRenderedPageBreak/>
              <w:t>Інші особливості:</w:t>
            </w:r>
          </w:p>
        </w:tc>
        <w:tc>
          <w:tcPr>
            <w:tcW w:w="7053" w:type="dxa"/>
          </w:tcPr>
          <w:p w14:paraId="41FB598D" w14:textId="4565FD32" w:rsidR="00082414" w:rsidRPr="00237993" w:rsidRDefault="00082414" w:rsidP="00082414">
            <w:pPr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082414">
              <w:rPr>
                <w:rFonts w:ascii="Times New Roman" w:hAnsi="Times New Roman" w:cs="Times New Roman"/>
                <w:i/>
                <w:shd w:val="clear" w:color="auto" w:fill="FFFFFF"/>
              </w:rPr>
              <w:t>З</w:t>
            </w:r>
            <w:r w:rsidRPr="00082414">
              <w:rPr>
                <w:rFonts w:ascii="Times New Roman" w:hAnsi="Times New Roman" w:cs="Times New Roman"/>
                <w:i/>
                <w:shd w:val="clear" w:color="auto" w:fill="FFFFFF"/>
              </w:rPr>
              <w:t>емельна ділянка, відображена у матеріалах вказаного клопотання, потрапляє в межі сформованої в результаті виконання Міської цільової програми використання та охорони земель міста Києва на 2019-2021 роки, затвердженої рішенням Київсь</w:t>
            </w:r>
            <w:r w:rsidRPr="00082414">
              <w:rPr>
                <w:rFonts w:ascii="Times New Roman" w:hAnsi="Times New Roman" w:cs="Times New Roman"/>
                <w:i/>
                <w:shd w:val="clear" w:color="auto" w:fill="FFFFFF"/>
              </w:rPr>
              <w:t>кої міської ради від 04.12.2018</w:t>
            </w:r>
            <w:r w:rsidRPr="0008241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237993">
              <w:rPr>
                <w:rFonts w:ascii="Times New Roman" w:hAnsi="Times New Roman" w:cs="Times New Roman"/>
                <w:i/>
                <w:shd w:val="clear" w:color="auto" w:fill="FFFFFF"/>
              </w:rPr>
              <w:t>№ 229/6280,</w:t>
            </w:r>
            <w:r w:rsidRPr="00082414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та зареєстрованої у Державному земельному кадастрі на підставі технічної документації із землеустрою щодо інвентаризації земель, 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земельної ділянки площею 0,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4494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га (кадастровий номер 8000000000:6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3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: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085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:00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39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), з кодом виду цільового призначення 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18.00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 - </w:t>
            </w:r>
            <w:r w:rsidRPr="00237993">
              <w:rPr>
                <w:rFonts w:ascii="Times New Roman" w:hAnsi="Times New Roman" w:cs="Times New Roman"/>
                <w:i/>
                <w:color w:val="212529"/>
                <w:shd w:val="clear" w:color="auto" w:fill="FFFFFF"/>
              </w:rPr>
              <w:t>Землі загального користування 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</w:p>
          <w:p w14:paraId="0AABC553" w14:textId="57567F4D" w:rsidR="00BE5F80" w:rsidRPr="00237993" w:rsidRDefault="00BE5F80" w:rsidP="00082414">
            <w:pPr>
              <w:jc w:val="both"/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237993">
              <w:rPr>
                <w:rFonts w:ascii="Times New Roman" w:hAnsi="Times New Roman" w:cs="Times New Roman"/>
                <w:i/>
              </w:rPr>
              <w:t xml:space="preserve">Департаментом підготовлено проєкт рішення Київської міської ради </w:t>
            </w:r>
            <w:r w:rsidRPr="00237993">
              <w:rPr>
                <w:rFonts w:ascii="Times New Roman" w:hAnsi="Times New Roman" w:cs="Times New Roman"/>
                <w:i/>
              </w:rPr>
              <w:t xml:space="preserve">про 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затвердження технічної документації із землеустрою щодо інвентаризації земель</w:t>
            </w:r>
            <w:r w:rsidRPr="00237993">
              <w:rPr>
                <w:rFonts w:ascii="Times New Roman" w:hAnsi="Times New Roman" w:cs="Times New Roman"/>
                <w:i/>
                <w:shd w:val="clear" w:color="auto" w:fill="FFFFFF"/>
              </w:rPr>
              <w:t>, в тому числі вищезазначеної земельної ділянки</w:t>
            </w:r>
            <w:r w:rsidRPr="00237993">
              <w:rPr>
                <w:rFonts w:ascii="Times New Roman" w:hAnsi="Times New Roman" w:cs="Times New Roman"/>
                <w:i/>
              </w:rPr>
              <w:t xml:space="preserve">, який після погодження в установленому порядку разом зі справою № </w:t>
            </w:r>
            <w:r w:rsidRPr="00237993">
              <w:rPr>
                <w:rFonts w:ascii="Times New Roman" w:hAnsi="Times New Roman" w:cs="Times New Roman"/>
                <w:i/>
              </w:rPr>
              <w:t xml:space="preserve">345268055 </w:t>
            </w:r>
            <w:r w:rsidR="00237993" w:rsidRPr="00237993">
              <w:rPr>
                <w:rFonts w:ascii="Times New Roman" w:hAnsi="Times New Roman" w:cs="Times New Roman"/>
                <w:i/>
              </w:rPr>
              <w:t xml:space="preserve">(контейнер 551653794) </w:t>
            </w:r>
            <w:r w:rsidRPr="00237993">
              <w:rPr>
                <w:rFonts w:ascii="Times New Roman" w:hAnsi="Times New Roman" w:cs="Times New Roman"/>
                <w:i/>
              </w:rPr>
              <w:t xml:space="preserve">відповідно до регламенту Київської передані 03.09.2019 до Київської міської ради </w:t>
            </w:r>
            <w:r w:rsidRPr="00237993">
              <w:rPr>
                <w:rFonts w:ascii="Times New Roman" w:hAnsi="Times New Roman" w:cs="Times New Roman"/>
                <w:bCs/>
                <w:i/>
              </w:rPr>
              <w:t>для розгляду та прийняття рішення</w:t>
            </w:r>
            <w:r w:rsidRPr="00237993">
              <w:rPr>
                <w:rFonts w:ascii="Times New Roman" w:hAnsi="Times New Roman" w:cs="Times New Roman"/>
                <w:i/>
              </w:rPr>
              <w:t xml:space="preserve"> (зареєстровано за № 08/231-</w:t>
            </w:r>
            <w:r w:rsidR="00237993" w:rsidRPr="00237993">
              <w:rPr>
                <w:rFonts w:ascii="Times New Roman" w:hAnsi="Times New Roman" w:cs="Times New Roman"/>
                <w:i/>
              </w:rPr>
              <w:t>4504</w:t>
            </w:r>
            <w:r w:rsidRPr="00237993">
              <w:rPr>
                <w:rFonts w:ascii="Times New Roman" w:hAnsi="Times New Roman" w:cs="Times New Roman"/>
                <w:i/>
              </w:rPr>
              <w:t xml:space="preserve">/ПР від </w:t>
            </w:r>
            <w:r w:rsidR="00237993" w:rsidRPr="00237993">
              <w:rPr>
                <w:rFonts w:ascii="Times New Roman" w:hAnsi="Times New Roman" w:cs="Times New Roman"/>
                <w:i/>
              </w:rPr>
              <w:t>17</w:t>
            </w:r>
            <w:r w:rsidRPr="00237993">
              <w:rPr>
                <w:rFonts w:ascii="Times New Roman" w:hAnsi="Times New Roman" w:cs="Times New Roman"/>
                <w:i/>
              </w:rPr>
              <w:t>.</w:t>
            </w:r>
            <w:r w:rsidR="00237993" w:rsidRPr="00237993">
              <w:rPr>
                <w:rFonts w:ascii="Times New Roman" w:hAnsi="Times New Roman" w:cs="Times New Roman"/>
                <w:i/>
              </w:rPr>
              <w:t>12</w:t>
            </w:r>
            <w:r w:rsidRPr="00237993">
              <w:rPr>
                <w:rFonts w:ascii="Times New Roman" w:hAnsi="Times New Roman" w:cs="Times New Roman"/>
                <w:i/>
              </w:rPr>
              <w:t>.20</w:t>
            </w:r>
            <w:r w:rsidR="00237993" w:rsidRPr="00237993">
              <w:rPr>
                <w:rFonts w:ascii="Times New Roman" w:hAnsi="Times New Roman" w:cs="Times New Roman"/>
                <w:i/>
              </w:rPr>
              <w:t>21</w:t>
            </w:r>
            <w:r w:rsidRPr="00237993">
              <w:rPr>
                <w:rFonts w:ascii="Times New Roman" w:hAnsi="Times New Roman" w:cs="Times New Roman"/>
                <w:i/>
              </w:rPr>
              <w:t>).</w:t>
            </w:r>
          </w:p>
          <w:p w14:paraId="705FA1C4" w14:textId="16C7F4E8" w:rsidR="00FF7A49" w:rsidRPr="00082414" w:rsidRDefault="00FF7A49" w:rsidP="000D71FC">
            <w:pPr>
              <w:pStyle w:val="a5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082414">
              <w:rPr>
                <w:i/>
                <w:color w:val="auto"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35F245F3" w14:textId="77777777" w:rsidR="00FF7A49" w:rsidRPr="00E14097" w:rsidRDefault="00FF7A49" w:rsidP="00FF7A49">
      <w:pPr>
        <w:pStyle w:val="a5"/>
        <w:shd w:val="clear" w:color="auto" w:fill="auto"/>
        <w:rPr>
          <w:sz w:val="24"/>
          <w:szCs w:val="24"/>
        </w:rPr>
      </w:pPr>
    </w:p>
    <w:p w14:paraId="63996942" w14:textId="3B5502DB" w:rsidR="009A054D" w:rsidRPr="00CE1179" w:rsidRDefault="00FF7A49" w:rsidP="00FF7A49">
      <w:pPr>
        <w:pStyle w:val="1"/>
        <w:shd w:val="clear" w:color="auto" w:fill="auto"/>
        <w:tabs>
          <w:tab w:val="left" w:pos="624"/>
        </w:tabs>
        <w:spacing w:after="0"/>
        <w:ind w:left="426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9A054D" w:rsidRPr="00CE1179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0F67E8BD" w14:textId="392F82DF" w:rsidR="009A054D" w:rsidRDefault="0002001A" w:rsidP="00BF0C26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>Загальні засади та порядок відмови у наданні дозволу на розроблення документації із землеустрою</w:t>
      </w:r>
      <w:r>
        <w:rPr>
          <w:sz w:val="24"/>
          <w:szCs w:val="24"/>
        </w:rPr>
        <w:t xml:space="preserve"> </w:t>
      </w:r>
      <w:r w:rsidRPr="0070402C">
        <w:rPr>
          <w:sz w:val="24"/>
          <w:szCs w:val="24"/>
        </w:rPr>
        <w:t>стат</w:t>
      </w:r>
      <w:r w:rsidR="00CC11E4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</w:t>
      </w:r>
      <w:r w:rsidR="00746639">
        <w:rPr>
          <w:sz w:val="24"/>
          <w:szCs w:val="24"/>
        </w:rPr>
        <w:t>123</w:t>
      </w:r>
      <w:r w:rsidRPr="0070402C">
        <w:rPr>
          <w:sz w:val="24"/>
          <w:szCs w:val="24"/>
        </w:rPr>
        <w:t xml:space="preserve"> Земельного кодексу України.</w:t>
      </w:r>
    </w:p>
    <w:p w14:paraId="20585362" w14:textId="77777777" w:rsidR="00BF0C26" w:rsidRPr="00CE1179" w:rsidRDefault="00BF0C26" w:rsidP="00BF0C26">
      <w:pPr>
        <w:pStyle w:val="1"/>
        <w:shd w:val="clear" w:color="auto" w:fill="auto"/>
        <w:spacing w:after="0"/>
        <w:ind w:firstLine="300"/>
        <w:jc w:val="both"/>
        <w:rPr>
          <w:sz w:val="24"/>
          <w:szCs w:val="24"/>
        </w:rPr>
      </w:pPr>
    </w:p>
    <w:p w14:paraId="77839D55" w14:textId="5A009888" w:rsidR="009A054D" w:rsidRPr="00CE1179" w:rsidRDefault="009A054D" w:rsidP="00FF7A49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Фінансово-економічне обґрунтування.</w:t>
      </w:r>
    </w:p>
    <w:p w14:paraId="0F37B1B4" w14:textId="77777777" w:rsidR="009A054D" w:rsidRPr="00CE1179" w:rsidRDefault="009A054D" w:rsidP="009A054D">
      <w:pPr>
        <w:pStyle w:val="1"/>
        <w:shd w:val="clear" w:color="auto" w:fill="auto"/>
        <w:spacing w:after="100"/>
        <w:ind w:firstLine="420"/>
        <w:rPr>
          <w:sz w:val="24"/>
          <w:szCs w:val="24"/>
        </w:rPr>
      </w:pPr>
      <w:r w:rsidRPr="00CE1179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66A9088D" w14:textId="4D9798CF" w:rsidR="009A054D" w:rsidRPr="00CE1179" w:rsidRDefault="009A054D" w:rsidP="00FF7A49">
      <w:pPr>
        <w:pStyle w:val="1"/>
        <w:numPr>
          <w:ilvl w:val="0"/>
          <w:numId w:val="4"/>
        </w:numPr>
        <w:shd w:val="clear" w:color="auto" w:fill="auto"/>
        <w:tabs>
          <w:tab w:val="left" w:pos="624"/>
        </w:tabs>
        <w:spacing w:after="0"/>
        <w:rPr>
          <w:sz w:val="24"/>
          <w:szCs w:val="24"/>
        </w:rPr>
      </w:pPr>
      <w:r w:rsidRPr="00CE1179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7DB9F1F8" w14:textId="022AEA67" w:rsidR="00B27378" w:rsidRPr="0070402C" w:rsidRDefault="00B27378" w:rsidP="00D15437">
      <w:pPr>
        <w:pStyle w:val="1"/>
        <w:shd w:val="clear" w:color="auto" w:fill="auto"/>
        <w:spacing w:after="120"/>
        <w:ind w:firstLine="426"/>
        <w:rPr>
          <w:sz w:val="24"/>
          <w:szCs w:val="24"/>
        </w:rPr>
      </w:pPr>
      <w:r>
        <w:rPr>
          <w:sz w:val="24"/>
          <w:szCs w:val="24"/>
        </w:rPr>
        <w:t>Рішення не тягне за собою жодних соціально-економічних ті інших наслідків.</w:t>
      </w:r>
    </w:p>
    <w:p w14:paraId="7AB86321" w14:textId="328149BE" w:rsidR="00FA7058" w:rsidRPr="00E70CB3" w:rsidRDefault="009A054D" w:rsidP="004B6C34">
      <w:pPr>
        <w:pStyle w:val="20"/>
        <w:shd w:val="clear" w:color="auto" w:fill="auto"/>
        <w:spacing w:after="36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CE1179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179" w:rsidRPr="00CE1179">
        <w:rPr>
          <w:rFonts w:ascii="Times New Roman" w:hAnsi="Times New Roman" w:cs="Times New Roman"/>
          <w:bCs/>
          <w:i w:val="0"/>
          <w:sz w:val="20"/>
          <w:szCs w:val="20"/>
          <w:lang w:val="en-US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964A0" w14:paraId="301475BE" w14:textId="77777777" w:rsidTr="007964A0">
        <w:trPr>
          <w:trHeight w:val="663"/>
        </w:trPr>
        <w:tc>
          <w:tcPr>
            <w:tcW w:w="4814" w:type="dxa"/>
            <w:hideMark/>
          </w:tcPr>
          <w:p w14:paraId="2C13CCA2" w14:textId="77777777" w:rsidR="004D0D1A" w:rsidRDefault="004D0D1A" w:rsidP="0069548F">
            <w:pPr>
              <w:pStyle w:val="30"/>
              <w:ind w:hanging="120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</w:p>
          <w:p w14:paraId="28460A66" w14:textId="4FC3F827" w:rsidR="007964A0" w:rsidRDefault="0069548F" w:rsidP="00746639">
            <w:pPr>
              <w:pStyle w:val="30"/>
              <w:ind w:left="-142" w:firstLine="22"/>
              <w:jc w:val="both"/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964A0">
              <w:rPr>
                <w:rStyle w:val="ae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2209B04A" w14:textId="77777777" w:rsidR="007964A0" w:rsidRDefault="007964A0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sz w:val="24"/>
                <w:szCs w:val="24"/>
                <w:lang w:val="ru-RU"/>
              </w:rPr>
            </w:pPr>
          </w:p>
          <w:p w14:paraId="68BCDA6D" w14:textId="77777777" w:rsidR="007964A0" w:rsidRPr="004A529A" w:rsidRDefault="007964A0">
            <w:pPr>
              <w:pStyle w:val="30"/>
              <w:shd w:val="clear" w:color="auto" w:fill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4A529A">
              <w:rPr>
                <w:rStyle w:val="ae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29CEE35E" w14:textId="77777777" w:rsidR="007964A0" w:rsidRDefault="007964A0" w:rsidP="00A050CA">
      <w:pPr>
        <w:pStyle w:val="30"/>
        <w:shd w:val="clear" w:color="auto" w:fill="auto"/>
        <w:ind w:left="426"/>
        <w:rPr>
          <w:sz w:val="24"/>
          <w:szCs w:val="24"/>
        </w:rPr>
      </w:pPr>
    </w:p>
    <w:p w14:paraId="14979436" w14:textId="77777777" w:rsidR="00A050CA" w:rsidRPr="00D73F87" w:rsidRDefault="00A050CA" w:rsidP="00A050CA">
      <w:pPr>
        <w:pStyle w:val="1"/>
        <w:shd w:val="clear" w:color="auto" w:fill="auto"/>
        <w:spacing w:after="0"/>
        <w:ind w:firstLine="420"/>
      </w:pPr>
    </w:p>
    <w:p w14:paraId="668C4AC8" w14:textId="0F0ED111" w:rsidR="009A054D" w:rsidRDefault="009A054D">
      <w:pPr>
        <w:pStyle w:val="1"/>
        <w:shd w:val="clear" w:color="auto" w:fill="auto"/>
        <w:ind w:firstLine="420"/>
        <w:rPr>
          <w:sz w:val="24"/>
          <w:szCs w:val="24"/>
        </w:rPr>
      </w:pPr>
    </w:p>
    <w:p w14:paraId="467734F8" w14:textId="77777777" w:rsidR="0086058E" w:rsidRPr="00CE1179" w:rsidRDefault="0086058E">
      <w:pPr>
        <w:pStyle w:val="1"/>
        <w:shd w:val="clear" w:color="auto" w:fill="auto"/>
        <w:ind w:firstLine="420"/>
        <w:rPr>
          <w:sz w:val="24"/>
          <w:szCs w:val="24"/>
        </w:rPr>
      </w:pPr>
    </w:p>
    <w:sectPr w:rsidR="0086058E" w:rsidRPr="00CE1179" w:rsidSect="00746639">
      <w:headerReference w:type="even" r:id="rId9"/>
      <w:footerReference w:type="even" r:id="rId10"/>
      <w:pgSz w:w="11907" w:h="16839" w:code="9"/>
      <w:pgMar w:top="1134" w:right="567" w:bottom="567" w:left="1701" w:header="284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8A675" w14:textId="77777777" w:rsidR="00E24606" w:rsidRDefault="00E24606">
      <w:r>
        <w:separator/>
      </w:r>
    </w:p>
  </w:endnote>
  <w:endnote w:type="continuationSeparator" w:id="0">
    <w:p w14:paraId="78B7B779" w14:textId="77777777" w:rsidR="00E24606" w:rsidRDefault="00E2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BC00" w14:textId="1B16DA7F" w:rsidR="00424EAD" w:rsidRDefault="002E7F73" w:rsidP="002E7F73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</w:t>
    </w:r>
    <w:r w:rsidR="009A6005">
      <w:rPr>
        <w:rFonts w:ascii="Arial" w:eastAsia="Arial" w:hAnsi="Arial" w:cs="Arial"/>
        <w:b/>
        <w:bCs/>
        <w:sz w:val="8"/>
        <w:szCs w:val="8"/>
      </w:rPr>
      <w:t>р</w:t>
    </w:r>
    <w:r>
      <w:rPr>
        <w:rFonts w:ascii="Arial" w:eastAsia="Arial" w:hAnsi="Arial" w:cs="Arial"/>
        <w:b/>
        <w:bCs/>
        <w:sz w:val="8"/>
        <w:szCs w:val="8"/>
        <w:lang w:val="ru-RU"/>
      </w:rPr>
      <w:t>у</w:t>
    </w:r>
  </w:p>
  <w:p w14:paraId="7A881B0C" w14:textId="77777777" w:rsidR="00424EAD" w:rsidRPr="00424EAD" w:rsidRDefault="00424EAD" w:rsidP="00424EAD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ADFAE" w14:textId="77777777" w:rsidR="00E24606" w:rsidRDefault="00E24606"/>
  </w:footnote>
  <w:footnote w:type="continuationSeparator" w:id="0">
    <w:p w14:paraId="57FC2725" w14:textId="77777777" w:rsidR="00E24606" w:rsidRDefault="00E2460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sz w:val="24"/>
        <w:szCs w:val="24"/>
      </w:rPr>
      <w:id w:val="-1807149336"/>
      <w:docPartObj>
        <w:docPartGallery w:val="Page Numbers (Top of Page)"/>
        <w:docPartUnique/>
      </w:docPartObj>
    </w:sdtPr>
    <w:sdtEndPr/>
    <w:sdtContent>
      <w:p w14:paraId="09BD0CBE" w14:textId="7DC184AE" w:rsidR="006B7E1F" w:rsidRPr="002E7F73" w:rsidRDefault="006B7E1F" w:rsidP="00CE1179">
        <w:pPr>
          <w:pStyle w:val="20"/>
          <w:shd w:val="clear" w:color="auto" w:fill="auto"/>
          <w:spacing w:after="0"/>
          <w:ind w:left="4098" w:firstLine="156"/>
          <w:rPr>
            <w:rFonts w:ascii="Times New Roman" w:hAnsi="Times New Roman" w:cs="Times New Roman"/>
            <w:i w:val="0"/>
            <w:color w:val="auto"/>
            <w:sz w:val="12"/>
            <w:szCs w:val="12"/>
          </w:rPr>
        </w:pP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Пояснювальна записка № </w:t>
        </w:r>
        <w:r w:rsidR="002E7F73" w:rsidRPr="002E7F73">
          <w:rPr>
            <w:rFonts w:ascii="Times New Roman" w:hAnsi="Times New Roman" w:cs="Times New Roman"/>
            <w:i w:val="0"/>
            <w:sz w:val="12"/>
            <w:szCs w:val="12"/>
            <w:lang w:val="en-US"/>
          </w:rPr>
          <w:t>ПЗН-43246</w:t>
        </w: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 від </w:t>
        </w:r>
        <w:r w:rsidR="00007066">
          <w:rPr>
            <w:i w:val="0"/>
            <w:sz w:val="12"/>
            <w:szCs w:val="12"/>
            <w:lang w:val="en-US"/>
          </w:rPr>
          <w:t>28.07.2022</w:t>
        </w:r>
        <w:r w:rsidRPr="002E7F73">
          <w:rPr>
            <w:rFonts w:ascii="Times New Roman" w:hAnsi="Times New Roman" w:cs="Times New Roman"/>
            <w:i w:val="0"/>
            <w:sz w:val="12"/>
            <w:szCs w:val="12"/>
          </w:rPr>
          <w:t xml:space="preserve"> до клопотання 500001170</w:t>
        </w:r>
      </w:p>
      <w:p w14:paraId="421DDA34" w14:textId="30949A00" w:rsidR="009A054D" w:rsidRDefault="006B7E1F" w:rsidP="00D22A91">
        <w:pPr>
          <w:pStyle w:val="a9"/>
          <w:jc w:val="right"/>
        </w:pPr>
        <w:r w:rsidRPr="006B7E1F">
          <w:rPr>
            <w:rFonts w:ascii="Times New Roman" w:hAnsi="Times New Roman" w:cs="Times New Roman"/>
            <w:sz w:val="12"/>
            <w:szCs w:val="12"/>
          </w:rPr>
          <w:t xml:space="preserve">Сторінка </w: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6B7E1F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237993" w:rsidRPr="00237993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6B7E1F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136EC78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2F2280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E76AC0"/>
    <w:multiLevelType w:val="hybridMultilevel"/>
    <w:tmpl w:val="F154C490"/>
    <w:lvl w:ilvl="0" w:tplc="DAC8B882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7066"/>
    <w:rsid w:val="0002001A"/>
    <w:rsid w:val="000528C3"/>
    <w:rsid w:val="00056BFC"/>
    <w:rsid w:val="000749AA"/>
    <w:rsid w:val="00074B7A"/>
    <w:rsid w:val="00077155"/>
    <w:rsid w:val="00082414"/>
    <w:rsid w:val="000865B5"/>
    <w:rsid w:val="000C1704"/>
    <w:rsid w:val="000C4C21"/>
    <w:rsid w:val="000D3E2E"/>
    <w:rsid w:val="000E6113"/>
    <w:rsid w:val="00112BAF"/>
    <w:rsid w:val="00127673"/>
    <w:rsid w:val="001337DC"/>
    <w:rsid w:val="00136BE4"/>
    <w:rsid w:val="001C3ED7"/>
    <w:rsid w:val="001D64B2"/>
    <w:rsid w:val="001F1B7F"/>
    <w:rsid w:val="00213B15"/>
    <w:rsid w:val="00217C7E"/>
    <w:rsid w:val="00223D11"/>
    <w:rsid w:val="00225838"/>
    <w:rsid w:val="00237993"/>
    <w:rsid w:val="00297226"/>
    <w:rsid w:val="00297ADA"/>
    <w:rsid w:val="002A6D28"/>
    <w:rsid w:val="002B1FC3"/>
    <w:rsid w:val="002D74B1"/>
    <w:rsid w:val="002E7F73"/>
    <w:rsid w:val="003058CF"/>
    <w:rsid w:val="003129ED"/>
    <w:rsid w:val="0031587F"/>
    <w:rsid w:val="003225DB"/>
    <w:rsid w:val="0032750F"/>
    <w:rsid w:val="0034227A"/>
    <w:rsid w:val="003A3634"/>
    <w:rsid w:val="003B74A7"/>
    <w:rsid w:val="003C0A13"/>
    <w:rsid w:val="003D4611"/>
    <w:rsid w:val="003E434D"/>
    <w:rsid w:val="003F53AF"/>
    <w:rsid w:val="00424EAD"/>
    <w:rsid w:val="00474886"/>
    <w:rsid w:val="00487489"/>
    <w:rsid w:val="004909FC"/>
    <w:rsid w:val="00491422"/>
    <w:rsid w:val="004A529A"/>
    <w:rsid w:val="004A698A"/>
    <w:rsid w:val="004B48D1"/>
    <w:rsid w:val="004B6C34"/>
    <w:rsid w:val="004B6FDB"/>
    <w:rsid w:val="004B781D"/>
    <w:rsid w:val="004D0D1A"/>
    <w:rsid w:val="004D4053"/>
    <w:rsid w:val="004D4582"/>
    <w:rsid w:val="004E43D6"/>
    <w:rsid w:val="00505664"/>
    <w:rsid w:val="00506F91"/>
    <w:rsid w:val="005101F2"/>
    <w:rsid w:val="005146A7"/>
    <w:rsid w:val="00547978"/>
    <w:rsid w:val="00551DF7"/>
    <w:rsid w:val="00566574"/>
    <w:rsid w:val="005846BF"/>
    <w:rsid w:val="005870AD"/>
    <w:rsid w:val="00591FD6"/>
    <w:rsid w:val="005B2E25"/>
    <w:rsid w:val="005B6F08"/>
    <w:rsid w:val="005C4862"/>
    <w:rsid w:val="00636F8A"/>
    <w:rsid w:val="00642810"/>
    <w:rsid w:val="00647170"/>
    <w:rsid w:val="00682AE8"/>
    <w:rsid w:val="00682CE7"/>
    <w:rsid w:val="0069548F"/>
    <w:rsid w:val="006A770D"/>
    <w:rsid w:val="006B7E1F"/>
    <w:rsid w:val="006D4E84"/>
    <w:rsid w:val="00746639"/>
    <w:rsid w:val="00756620"/>
    <w:rsid w:val="00774982"/>
    <w:rsid w:val="007964A0"/>
    <w:rsid w:val="007965A4"/>
    <w:rsid w:val="007F3A56"/>
    <w:rsid w:val="007F63EB"/>
    <w:rsid w:val="00816852"/>
    <w:rsid w:val="00843BB4"/>
    <w:rsid w:val="00857625"/>
    <w:rsid w:val="0086058E"/>
    <w:rsid w:val="008A1679"/>
    <w:rsid w:val="008B4652"/>
    <w:rsid w:val="008F121B"/>
    <w:rsid w:val="008F1609"/>
    <w:rsid w:val="009015BF"/>
    <w:rsid w:val="009273D9"/>
    <w:rsid w:val="00982818"/>
    <w:rsid w:val="009A054D"/>
    <w:rsid w:val="009A6005"/>
    <w:rsid w:val="009C2A2F"/>
    <w:rsid w:val="00A050CA"/>
    <w:rsid w:val="00A26614"/>
    <w:rsid w:val="00A47A3A"/>
    <w:rsid w:val="00A77B56"/>
    <w:rsid w:val="00AA7A3B"/>
    <w:rsid w:val="00AC53A6"/>
    <w:rsid w:val="00B211A3"/>
    <w:rsid w:val="00B27378"/>
    <w:rsid w:val="00B62252"/>
    <w:rsid w:val="00B92433"/>
    <w:rsid w:val="00BC2A6E"/>
    <w:rsid w:val="00BE5F80"/>
    <w:rsid w:val="00BF0C26"/>
    <w:rsid w:val="00C07CF6"/>
    <w:rsid w:val="00C313EB"/>
    <w:rsid w:val="00C325C5"/>
    <w:rsid w:val="00CC11E4"/>
    <w:rsid w:val="00CE1179"/>
    <w:rsid w:val="00D145DD"/>
    <w:rsid w:val="00D14771"/>
    <w:rsid w:val="00D15437"/>
    <w:rsid w:val="00D22A91"/>
    <w:rsid w:val="00D326FE"/>
    <w:rsid w:val="00D40B85"/>
    <w:rsid w:val="00D4312F"/>
    <w:rsid w:val="00D437FF"/>
    <w:rsid w:val="00D93ECE"/>
    <w:rsid w:val="00DA3E68"/>
    <w:rsid w:val="00E00E70"/>
    <w:rsid w:val="00E014CA"/>
    <w:rsid w:val="00E11D3F"/>
    <w:rsid w:val="00E24606"/>
    <w:rsid w:val="00E31155"/>
    <w:rsid w:val="00E37FAE"/>
    <w:rsid w:val="00E408E5"/>
    <w:rsid w:val="00E44212"/>
    <w:rsid w:val="00E66E8B"/>
    <w:rsid w:val="00E70CB3"/>
    <w:rsid w:val="00F041EE"/>
    <w:rsid w:val="00F06656"/>
    <w:rsid w:val="00F177F2"/>
    <w:rsid w:val="00F40D6D"/>
    <w:rsid w:val="00F43C3F"/>
    <w:rsid w:val="00F5083E"/>
    <w:rsid w:val="00F554EA"/>
    <w:rsid w:val="00FA7058"/>
    <w:rsid w:val="00FB7B5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D036"/>
  <w15:docId w15:val="{B991907F-457B-4C4B-B7C9-415E5C69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424E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424EA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223D11"/>
    <w:rPr>
      <w:i/>
      <w:iCs/>
    </w:rPr>
  </w:style>
  <w:style w:type="character" w:styleId="ae">
    <w:name w:val="Strong"/>
    <w:basedOn w:val="a0"/>
    <w:uiPriority w:val="22"/>
    <w:qFormat/>
    <w:rsid w:val="00A050C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6058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05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відмова</vt:lpstr>
      <vt:lpstr/>
    </vt:vector>
  </TitlesOfParts>
  <Manager>Управління землеустрою</Manager>
  <Company>ДЕПАРТАМЕНТ ЗЕМЕЛЬНИХ РЕСУРСІВ</Company>
  <LinksUpToDate>false</LinksUpToDate>
  <CharactersWithSpaces>6347</CharactersWithSpaces>
  <SharedDoc>false</SharedDoc>
  <HyperlinkBase>74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відмова</dc:title>
  <cp:lastModifiedBy>Бережна Людмила Вікторівна</cp:lastModifiedBy>
  <cp:revision>89</cp:revision>
  <cp:lastPrinted>2021-11-25T14:48:00Z</cp:lastPrinted>
  <dcterms:created xsi:type="dcterms:W3CDTF">2019-02-06T15:49:00Z</dcterms:created>
  <dcterms:modified xsi:type="dcterms:W3CDTF">2022-07-28T15:29:00Z</dcterms:modified>
</cp:coreProperties>
</file>