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677650107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677650107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CDA7F33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861525">
        <w:rPr>
          <w:b/>
          <w:bCs/>
          <w:sz w:val="24"/>
          <w:szCs w:val="24"/>
          <w:lang w:val="ru-RU"/>
        </w:rPr>
        <w:t>ПЗН-13667-3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861525">
        <w:rPr>
          <w:b/>
          <w:bCs/>
          <w:sz w:val="24"/>
          <w:szCs w:val="24"/>
          <w:lang w:val="ru-RU"/>
        </w:rPr>
        <w:t>21.02.2024</w:t>
      </w:r>
    </w:p>
    <w:p w14:paraId="69271402" w14:textId="44F10DD7" w:rsidR="004F0681" w:rsidRDefault="00604821" w:rsidP="003774B2">
      <w:pPr>
        <w:pStyle w:val="1"/>
        <w:shd w:val="clear" w:color="auto" w:fill="auto"/>
        <w:spacing w:after="0"/>
        <w:ind w:left="567" w:right="3481" w:firstLine="720"/>
        <w:rPr>
          <w:noProof/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6EACB9B5" w14:textId="77777777" w:rsidR="0001289B" w:rsidRPr="003774B2" w:rsidRDefault="0001289B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</w:p>
    <w:p w14:paraId="3D808EFA" w14:textId="29B2A99E" w:rsidR="00E17376" w:rsidRPr="0001289B" w:rsidRDefault="0001289B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sz w:val="24"/>
          <w:szCs w:val="24"/>
        </w:rPr>
      </w:pPr>
      <w:r w:rsidRPr="0001289B">
        <w:rPr>
          <w:b/>
          <w:bCs/>
          <w:i/>
          <w:sz w:val="24"/>
          <w:szCs w:val="24"/>
        </w:rPr>
        <w:t xml:space="preserve">Про надання громадянину Смірнову Володимиру Васильовичу дозволу на розроблення проєкту землеустрою щодо відведення земельної ділянки у </w:t>
      </w:r>
      <w:r w:rsidRPr="00B838DD">
        <w:rPr>
          <w:rStyle w:val="af"/>
          <w:b/>
          <w:sz w:val="24"/>
          <w:szCs w:val="24"/>
        </w:rPr>
        <w:t>власність</w:t>
      </w:r>
      <w:r w:rsidRPr="0001289B">
        <w:rPr>
          <w:b/>
          <w:bCs/>
          <w:i/>
          <w:sz w:val="24"/>
          <w:szCs w:val="24"/>
        </w:rPr>
        <w:t xml:space="preserve"> </w:t>
      </w:r>
      <w:r w:rsidRPr="0001289B">
        <w:rPr>
          <w:b/>
          <w:i/>
          <w:sz w:val="24"/>
          <w:szCs w:val="24"/>
        </w:rPr>
        <w:t xml:space="preserve">для будівництва і обслуговування житлового будинку, господарських будівель і споруд </w:t>
      </w:r>
      <w:r w:rsidRPr="0001289B">
        <w:rPr>
          <w:b/>
          <w:bCs/>
          <w:i/>
          <w:sz w:val="24"/>
          <w:szCs w:val="24"/>
        </w:rPr>
        <w:t xml:space="preserve">на </w:t>
      </w:r>
      <w:r w:rsidR="00D2155A">
        <w:rPr>
          <w:b/>
          <w:bCs/>
          <w:i/>
          <w:sz w:val="24"/>
          <w:szCs w:val="24"/>
        </w:rPr>
        <w:t xml:space="preserve">                          </w:t>
      </w:r>
      <w:r w:rsidRPr="0001289B">
        <w:rPr>
          <w:b/>
          <w:bCs/>
          <w:i/>
          <w:sz w:val="24"/>
          <w:szCs w:val="24"/>
        </w:rPr>
        <w:t>вул. Прикордонній, 22 у Деснянському районі міста Києва</w:t>
      </w:r>
    </w:p>
    <w:p w14:paraId="7DDDC7D5" w14:textId="77777777" w:rsidR="0001289B" w:rsidRPr="0001289B" w:rsidRDefault="0001289B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i/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Смірнов Володимир Васильович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10.11.2020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677650107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5DF8CA65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01289B">
        <w:rPr>
          <w:sz w:val="24"/>
          <w:szCs w:val="24"/>
        </w:rPr>
        <w:t xml:space="preserve">обліковий код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62:164:0044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Деснянський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Прикордонна, 22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210B8D13" w:rsidR="00F66E0E" w:rsidRPr="009446B9" w:rsidRDefault="0001289B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Право в процесі оформлення (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58C6B9F1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47F9520E" w14:textId="39B184B4" w:rsidR="004F0681" w:rsidRPr="007F32B7" w:rsidRDefault="00AA7FEA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7F32B7">
        <w:rPr>
          <w:sz w:val="24"/>
          <w:szCs w:val="24"/>
        </w:rPr>
        <w:t>На клопотання зацікавленої особи відповідно до статей 9, 118 Земельного кодексу України</w:t>
      </w:r>
      <w:r w:rsidR="007F32B7" w:rsidRPr="007F32B7">
        <w:rPr>
          <w:sz w:val="24"/>
          <w:szCs w:val="24"/>
        </w:rPr>
        <w:t xml:space="preserve">, </w:t>
      </w:r>
      <w:r w:rsidRPr="007F32B7">
        <w:rPr>
          <w:sz w:val="24"/>
          <w:szCs w:val="24"/>
        </w:rPr>
        <w:t>Порядку набуття прав на землю із земель комунальної власності у місті Києві, затвердженого рішенням Київської міської ради від 20.04.2017 № 241/2463,</w:t>
      </w:r>
      <w:r w:rsidR="007F32B7" w:rsidRPr="007F32B7">
        <w:rPr>
          <w:sz w:val="24"/>
          <w:szCs w:val="24"/>
        </w:rPr>
        <w:t xml:space="preserve"> та на виконання рішення Окружного адміністративного суду міста Києва від 22</w:t>
      </w:r>
      <w:r w:rsidR="007F32B7">
        <w:rPr>
          <w:sz w:val="24"/>
          <w:szCs w:val="24"/>
        </w:rPr>
        <w:t>.06.</w:t>
      </w:r>
      <w:r w:rsidR="007F32B7" w:rsidRPr="007F32B7">
        <w:rPr>
          <w:sz w:val="24"/>
          <w:szCs w:val="24"/>
        </w:rPr>
        <w:t>2018</w:t>
      </w:r>
      <w:r w:rsidR="007F32B7">
        <w:rPr>
          <w:sz w:val="24"/>
          <w:szCs w:val="24"/>
        </w:rPr>
        <w:t xml:space="preserve"> </w:t>
      </w:r>
      <w:r w:rsidR="007F32B7" w:rsidRPr="007F32B7">
        <w:rPr>
          <w:sz w:val="24"/>
          <w:szCs w:val="24"/>
        </w:rPr>
        <w:t xml:space="preserve">№ 826/17768/17 </w:t>
      </w:r>
      <w:r w:rsidRPr="007F32B7">
        <w:rPr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3732A8" w:rsidRPr="007F32B7">
        <w:rPr>
          <w:sz w:val="24"/>
          <w:szCs w:val="24"/>
        </w:rPr>
        <w:t>проєкт</w:t>
      </w:r>
      <w:r w:rsidRPr="007F32B7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206AC93" w:rsidR="004F0681" w:rsidRPr="00D544A1" w:rsidRDefault="00604821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D544A1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D544A1" w:rsidRPr="00D544A1">
        <w:rPr>
          <w:color w:val="auto"/>
          <w:sz w:val="24"/>
          <w:szCs w:val="24"/>
        </w:rPr>
        <w:t xml:space="preserve"> та виконання</w:t>
      </w:r>
      <w:r w:rsidR="00D544A1">
        <w:rPr>
          <w:color w:val="auto"/>
          <w:sz w:val="24"/>
          <w:szCs w:val="24"/>
        </w:rPr>
        <w:t xml:space="preserve"> </w:t>
      </w:r>
      <w:r w:rsidR="00D544A1" w:rsidRPr="00D544A1">
        <w:rPr>
          <w:color w:val="auto"/>
          <w:sz w:val="24"/>
          <w:szCs w:val="24"/>
        </w:rPr>
        <w:t>рішення Окружного адміністративного суду міста Києва від 22.06.2018 № 826/17768/17</w:t>
      </w:r>
      <w:r w:rsidRPr="00D544A1">
        <w:rPr>
          <w:color w:val="auto"/>
          <w:sz w:val="24"/>
          <w:szCs w:val="24"/>
        </w:rPr>
        <w:t>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08D5C41" w:rsidR="0041184B" w:rsidRPr="00EE0C80" w:rsidRDefault="009B44EB" w:rsidP="002E2E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EE0C8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C722B3">
        <w:trPr>
          <w:cantSplit/>
          <w:trHeight w:val="1343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2CDB00D6" w:rsidR="0041184B" w:rsidRPr="0041184B" w:rsidRDefault="00175FD0" w:rsidP="00C722B3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C722B3">
              <w:rPr>
                <w:i/>
                <w:color w:val="auto"/>
                <w:sz w:val="24"/>
                <w:szCs w:val="24"/>
              </w:rPr>
              <w:t>Відповідно до Генерального плану міста</w:t>
            </w:r>
            <w:r w:rsidR="00E04075" w:rsidRPr="00C722B3">
              <w:rPr>
                <w:i/>
                <w:color w:val="auto"/>
                <w:sz w:val="24"/>
                <w:szCs w:val="24"/>
                <w:lang w:val="ru-RU"/>
              </w:rPr>
              <w:t xml:space="preserve"> Ки</w:t>
            </w:r>
            <w:r w:rsidR="00E04075" w:rsidRPr="00C722B3">
              <w:rPr>
                <w:i/>
                <w:color w:val="auto"/>
                <w:sz w:val="24"/>
                <w:szCs w:val="24"/>
              </w:rPr>
              <w:t>є</w:t>
            </w:r>
            <w:r w:rsidR="00E04075" w:rsidRPr="00C722B3">
              <w:rPr>
                <w:i/>
                <w:color w:val="auto"/>
                <w:sz w:val="24"/>
                <w:szCs w:val="24"/>
                <w:lang w:val="ru-RU"/>
              </w:rPr>
              <w:t>ва</w:t>
            </w:r>
            <w:r w:rsidRPr="00C722B3">
              <w:rPr>
                <w:i/>
                <w:color w:val="auto"/>
                <w:sz w:val="24"/>
                <w:szCs w:val="24"/>
              </w:rPr>
              <w:t xml:space="preserve">, затвердженого рішенням Київської міської ради </w:t>
            </w:r>
            <w:r w:rsidR="009446B9" w:rsidRPr="00C722B3">
              <w:rPr>
                <w:i/>
                <w:color w:val="auto"/>
                <w:sz w:val="24"/>
                <w:szCs w:val="24"/>
              </w:rPr>
              <w:t xml:space="preserve">                                   </w:t>
            </w:r>
            <w:r w:rsidRPr="00C722B3">
              <w:rPr>
                <w:i/>
                <w:color w:val="auto"/>
                <w:sz w:val="24"/>
                <w:szCs w:val="24"/>
              </w:rPr>
              <w:t>від 28</w:t>
            </w:r>
            <w:r w:rsidR="004176B9" w:rsidRPr="00C722B3">
              <w:rPr>
                <w:i/>
                <w:color w:val="auto"/>
                <w:sz w:val="24"/>
                <w:szCs w:val="24"/>
              </w:rPr>
              <w:t>.03.</w:t>
            </w:r>
            <w:r w:rsidR="00464C10" w:rsidRPr="00C722B3">
              <w:rPr>
                <w:i/>
                <w:color w:val="auto"/>
                <w:sz w:val="24"/>
                <w:szCs w:val="24"/>
              </w:rPr>
              <w:t xml:space="preserve">2002 </w:t>
            </w:r>
            <w:r w:rsidRPr="00C722B3">
              <w:rPr>
                <w:i/>
                <w:color w:val="auto"/>
                <w:sz w:val="24"/>
                <w:szCs w:val="24"/>
              </w:rPr>
              <w:t>№ 370/1804, земельна ділянка за функціональним призначенням належить до території житлової садибної забудови</w:t>
            </w:r>
            <w:r w:rsidR="00C722B3" w:rsidRPr="00C722B3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42E0ACC5" w14:textId="4F20E6F8" w:rsidR="00A41C6A" w:rsidRDefault="00A41C6A" w:rsidP="00A41C6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Проєкт рішення Київської міської ради підготовлено на виконання рішення Окружного адміністративного суду міста Києва від 22.06.2018 № 826/17768/17, яким</w:t>
            </w:r>
            <w:r w:rsidR="006C4A91">
              <w:rPr>
                <w:rFonts w:ascii="Times New Roman" w:hAnsi="Times New Roman" w:cs="Times New Roman"/>
                <w:i/>
              </w:rPr>
              <w:t xml:space="preserve"> скасовано рішення Постійної комісії з питань містобудування, архітектури та землекористування Київської міської ради від 04.12.2017</w:t>
            </w:r>
            <w:r w:rsidR="00B65281">
              <w:rPr>
                <w:rFonts w:ascii="Times New Roman" w:hAnsi="Times New Roman" w:cs="Times New Roman"/>
                <w:i/>
              </w:rPr>
              <w:t xml:space="preserve"> </w:t>
            </w:r>
            <w:r w:rsidR="006C4A91">
              <w:rPr>
                <w:rFonts w:ascii="Times New Roman" w:hAnsi="Times New Roman" w:cs="Times New Roman"/>
                <w:i/>
              </w:rPr>
              <w:t xml:space="preserve">та </w:t>
            </w:r>
            <w:r>
              <w:rPr>
                <w:rFonts w:ascii="Times New Roman" w:hAnsi="Times New Roman" w:cs="Times New Roman"/>
                <w:i/>
              </w:rPr>
              <w:t>зобов’язано Київську міську раду</w:t>
            </w:r>
            <w:r w:rsidR="002370B4">
              <w:rPr>
                <w:rFonts w:ascii="Times New Roman" w:hAnsi="Times New Roman" w:cs="Times New Roman"/>
                <w:i/>
              </w:rPr>
              <w:t xml:space="preserve"> повторно </w:t>
            </w:r>
            <w:r>
              <w:rPr>
                <w:rFonts w:ascii="Times New Roman" w:hAnsi="Times New Roman" w:cs="Times New Roman"/>
                <w:i/>
              </w:rPr>
              <w:t>розглянути проєкт рішення Київської міської ради та вирішити питання щодо надання дозволу на розроблення проекту землеустрою щодо  відведення земельної ділянки, з урахуванням висновків суду, викладених у даному рішенні.</w:t>
            </w:r>
          </w:p>
          <w:p w14:paraId="3C499A07" w14:textId="79C8BC5A" w:rsidR="003954AB" w:rsidRPr="001F4AB8" w:rsidRDefault="00FB18EF" w:rsidP="00A41C6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4AB8">
              <w:rPr>
                <w:rFonts w:ascii="Times New Roman" w:hAnsi="Times New Roman" w:cs="Times New Roman"/>
                <w:i/>
                <w:color w:val="auto"/>
              </w:rPr>
              <w:t xml:space="preserve">Попередній </w:t>
            </w:r>
            <w:r w:rsidR="003954AB" w:rsidRPr="001F4AB8">
              <w:rPr>
                <w:rFonts w:ascii="Times New Roman" w:hAnsi="Times New Roman" w:cs="Times New Roman"/>
                <w:i/>
                <w:color w:val="auto"/>
              </w:rPr>
              <w:t xml:space="preserve">проєкт рішення Київської міської ради від 17.02.2022 № 08/231-438/пр розглянуто на пленарному засіданні </w:t>
            </w:r>
            <w:r w:rsidR="00B9275D" w:rsidRPr="001F4AB8">
              <w:rPr>
                <w:rFonts w:ascii="Times New Roman" w:hAnsi="Times New Roman" w:cs="Times New Roman"/>
                <w:i/>
                <w:color w:val="auto"/>
              </w:rPr>
              <w:t xml:space="preserve">ІІ сесії Київської міської ради </w:t>
            </w:r>
            <w:r w:rsidR="00B9275D" w:rsidRPr="001F4AB8">
              <w:rPr>
                <w:rFonts w:ascii="Times New Roman" w:hAnsi="Times New Roman" w:cs="Times New Roman"/>
                <w:i/>
                <w:color w:val="auto"/>
                <w:lang w:val="en-US"/>
              </w:rPr>
              <w:t>IX</w:t>
            </w:r>
            <w:r w:rsidR="00B9275D" w:rsidRPr="001F4AB8">
              <w:rPr>
                <w:rFonts w:ascii="Times New Roman" w:hAnsi="Times New Roman" w:cs="Times New Roman"/>
                <w:i/>
                <w:color w:val="auto"/>
              </w:rPr>
              <w:t xml:space="preserve"> скликання 08.02.2024 та прийнято рішення про відхилення</w:t>
            </w:r>
            <w:r w:rsidR="000E6DC8" w:rsidRPr="001F4AB8">
              <w:rPr>
                <w:rFonts w:ascii="Times New Roman" w:hAnsi="Times New Roman" w:cs="Times New Roman"/>
                <w:i/>
                <w:color w:val="auto"/>
              </w:rPr>
              <w:t>.</w:t>
            </w:r>
            <w:r w:rsidR="00B9275D" w:rsidRPr="001F4AB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14:paraId="24EECAD9" w14:textId="46618489" w:rsidR="001F4AB8" w:rsidRPr="001F4AB8" w:rsidRDefault="001F4AB8" w:rsidP="00A41C6A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4AB8">
              <w:rPr>
                <w:rFonts w:ascii="Times New Roman" w:hAnsi="Times New Roman" w:cs="Times New Roman"/>
                <w:bCs/>
                <w:i/>
                <w:color w:val="auto"/>
              </w:rPr>
              <w:t>В</w:t>
            </w:r>
            <w:r w:rsidRPr="001F4AB8">
              <w:rPr>
                <w:rFonts w:ascii="Times New Roman" w:hAnsi="Times New Roman" w:cs="Times New Roman"/>
                <w:bCs/>
                <w:i/>
                <w:color w:val="auto"/>
              </w:rPr>
              <w:t xml:space="preserve">ідповідно до статті </w:t>
            </w:r>
            <w:r w:rsidRPr="001F4AB8">
              <w:rPr>
                <w:rStyle w:val="rvts9"/>
                <w:rFonts w:ascii="Times New Roman" w:hAnsi="Times New Roman" w:cs="Times New Roman"/>
                <w:bCs/>
                <w:i/>
                <w:color w:val="auto"/>
                <w:shd w:val="clear" w:color="auto" w:fill="FFFFFF"/>
              </w:rPr>
              <w:t>129</w:t>
            </w:r>
            <w:r w:rsidRPr="001F4AB8">
              <w:rPr>
                <w:rStyle w:val="rvts37"/>
                <w:rFonts w:ascii="Times New Roman" w:hAnsi="Times New Roman" w:cs="Times New Roman"/>
                <w:bCs/>
                <w:i/>
                <w:color w:val="auto"/>
                <w:shd w:val="clear" w:color="auto" w:fill="FFFFFF"/>
                <w:vertAlign w:val="superscript"/>
              </w:rPr>
              <w:t xml:space="preserve">1 </w:t>
            </w:r>
            <w:r w:rsidRPr="001F4AB8">
              <w:rPr>
                <w:rFonts w:ascii="Times New Roman" w:hAnsi="Times New Roman" w:cs="Times New Roman"/>
                <w:bCs/>
                <w:i/>
                <w:color w:val="auto"/>
              </w:rPr>
              <w:t>Конституції України</w:t>
            </w:r>
            <w:r w:rsidRPr="001F4AB8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с</w:t>
            </w:r>
            <w:r w:rsidRPr="001F4AB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удове рішення є обов’язковим до виконання.</w:t>
            </w:r>
          </w:p>
          <w:p w14:paraId="76FD8A59" w14:textId="77777777" w:rsidR="00BF63A8" w:rsidRPr="001F4AB8" w:rsidRDefault="00BF63A8" w:rsidP="00BF63A8">
            <w:pPr>
              <w:jc w:val="both"/>
              <w:rPr>
                <w:rFonts w:ascii="Times New Roman" w:hAnsi="Times New Roman"/>
                <w:i/>
                <w:color w:val="auto"/>
              </w:rPr>
            </w:pPr>
            <w:r w:rsidRPr="001F4AB8">
              <w:rPr>
                <w:rFonts w:ascii="Times New Roman" w:hAnsi="Times New Roman" w:cs="Times New Roman"/>
                <w:i/>
                <w:color w:val="auto"/>
              </w:rPr>
              <w:t>Згідно з частиною третьою статі 14 Кодексу адміністративного судочинства України н</w:t>
            </w:r>
            <w:r w:rsidRPr="001F4AB8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евиконання судового рішення тягне за собою відповідальність, встановлену законом</w:t>
            </w:r>
            <w:r w:rsidRPr="001F4AB8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77B17EE6" w14:textId="7626B1CE" w:rsidR="00BF63A8" w:rsidRPr="001F4AB8" w:rsidRDefault="00BF63A8" w:rsidP="00BF63A8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4AB8">
              <w:rPr>
                <w:rFonts w:ascii="Times New Roman" w:hAnsi="Times New Roman" w:cs="Times New Roman"/>
                <w:i/>
                <w:color w:val="auto"/>
              </w:rPr>
              <w:t>Стат</w:t>
            </w:r>
            <w:r w:rsidR="00610EA3" w:rsidRPr="001F4AB8">
              <w:rPr>
                <w:rFonts w:ascii="Times New Roman" w:hAnsi="Times New Roman" w:cs="Times New Roman"/>
                <w:i/>
                <w:color w:val="auto"/>
              </w:rPr>
              <w:t>т</w:t>
            </w:r>
            <w:r w:rsidRPr="001F4AB8">
              <w:rPr>
                <w:rFonts w:ascii="Times New Roman" w:hAnsi="Times New Roman" w:cs="Times New Roman"/>
                <w:i/>
                <w:color w:val="auto"/>
              </w:rPr>
              <w:t>ею 382 Кримінального кодексу України передбачено кримінальну відповідальність за невиконання судового рішення.</w:t>
            </w:r>
          </w:p>
          <w:p w14:paraId="6F5E4672" w14:textId="6EFBDC22" w:rsidR="00BF63A8" w:rsidRDefault="00BF63A8" w:rsidP="00BF63A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4AB8">
              <w:rPr>
                <w:rFonts w:ascii="Times New Roman" w:hAnsi="Times New Roman" w:cs="Times New Roman"/>
                <w:i/>
                <w:color w:val="auto"/>
              </w:rPr>
              <w:t xml:space="preserve">Зазначаємо, що Департамент </w:t>
            </w:r>
            <w:r>
              <w:rPr>
                <w:rFonts w:ascii="Times New Roman" w:hAnsi="Times New Roman" w:cs="Times New Roman"/>
                <w:i/>
                <w:color w:val="auto"/>
              </w:rPr>
              <w:t>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EC17E3A" w14:textId="77777777" w:rsidR="00BF63A8" w:rsidRPr="003774B2" w:rsidRDefault="00BF63A8" w:rsidP="00BF63A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</w:t>
            </w:r>
          </w:p>
          <w:p w14:paraId="6528D3CD" w14:textId="7E49B411" w:rsidR="00FD241E" w:rsidRPr="003774B2" w:rsidRDefault="00BF63A8" w:rsidP="00BF63A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1916CDD6" w:rsidR="00114807" w:rsidRPr="000E6DC8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FC7A81B" w14:textId="4E1725F9" w:rsidR="006A3391" w:rsidRPr="00A153DB" w:rsidRDefault="000E6DC8" w:rsidP="001F4AB8">
      <w:pPr>
        <w:pStyle w:val="1"/>
        <w:shd w:val="clear" w:color="auto" w:fill="auto"/>
        <w:tabs>
          <w:tab w:val="left" w:pos="708"/>
        </w:tabs>
        <w:spacing w:after="0"/>
        <w:jc w:val="both"/>
        <w:rPr>
          <w:sz w:val="24"/>
          <w:szCs w:val="24"/>
        </w:rPr>
      </w:pPr>
      <w:r w:rsidRPr="000E6DC8">
        <w:rPr>
          <w:bCs/>
          <w:sz w:val="24"/>
          <w:szCs w:val="24"/>
        </w:rPr>
        <w:t xml:space="preserve">Проєкт рішення Київської міської ради </w:t>
      </w:r>
      <w:r w:rsidRPr="00230874">
        <w:rPr>
          <w:bCs/>
          <w:sz w:val="24"/>
          <w:szCs w:val="24"/>
        </w:rPr>
        <w:t xml:space="preserve">підготовлено </w:t>
      </w:r>
      <w:r w:rsidR="00230874" w:rsidRPr="00230874">
        <w:rPr>
          <w:bCs/>
          <w:sz w:val="24"/>
          <w:szCs w:val="24"/>
        </w:rPr>
        <w:t>відповідно до статті</w:t>
      </w:r>
      <w:r w:rsidR="00230874">
        <w:rPr>
          <w:bCs/>
          <w:sz w:val="24"/>
          <w:szCs w:val="24"/>
        </w:rPr>
        <w:t xml:space="preserve"> </w:t>
      </w:r>
      <w:r w:rsidR="00230874" w:rsidRPr="00230874">
        <w:rPr>
          <w:rStyle w:val="rvts9"/>
          <w:bCs/>
          <w:color w:val="333333"/>
          <w:sz w:val="24"/>
          <w:szCs w:val="24"/>
          <w:shd w:val="clear" w:color="auto" w:fill="FFFFFF"/>
        </w:rPr>
        <w:t>129</w:t>
      </w:r>
      <w:r w:rsidR="00230874" w:rsidRPr="00230874">
        <w:rPr>
          <w:rStyle w:val="rvts37"/>
          <w:bCs/>
          <w:color w:val="333333"/>
          <w:sz w:val="24"/>
          <w:szCs w:val="24"/>
          <w:shd w:val="clear" w:color="auto" w:fill="FFFFFF"/>
          <w:vertAlign w:val="superscript"/>
        </w:rPr>
        <w:t>1</w:t>
      </w:r>
      <w:r w:rsidR="00230874">
        <w:rPr>
          <w:rStyle w:val="rvts37"/>
          <w:bCs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1F4AB8">
        <w:rPr>
          <w:bCs/>
          <w:sz w:val="24"/>
          <w:szCs w:val="24"/>
        </w:rPr>
        <w:t xml:space="preserve">Конституції України та </w:t>
      </w:r>
      <w:r w:rsidR="0058656C" w:rsidRPr="00A153DB">
        <w:rPr>
          <w:sz w:val="24"/>
          <w:szCs w:val="24"/>
        </w:rPr>
        <w:t>стат</w:t>
      </w:r>
      <w:r w:rsidR="001F4AB8">
        <w:rPr>
          <w:sz w:val="24"/>
          <w:szCs w:val="24"/>
        </w:rPr>
        <w:t xml:space="preserve">ей </w:t>
      </w:r>
      <w:r w:rsidR="0058656C" w:rsidRPr="00A153DB">
        <w:rPr>
          <w:sz w:val="24"/>
          <w:szCs w:val="24"/>
        </w:rPr>
        <w:t>9, 118 Земельного кодексу України</w:t>
      </w:r>
      <w:r w:rsidR="006A3391" w:rsidRPr="00A153DB">
        <w:rPr>
          <w:sz w:val="24"/>
          <w:szCs w:val="24"/>
        </w:rPr>
        <w:t>.</w:t>
      </w:r>
    </w:p>
    <w:p w14:paraId="0DF219D7" w14:textId="77777777" w:rsidR="00A153DB" w:rsidRPr="00A153DB" w:rsidRDefault="00A153DB" w:rsidP="00C95563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r w:rsidRPr="00A153DB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5A8900D2" w14:textId="12DB66F1" w:rsidR="00F45834" w:rsidRDefault="00F45834" w:rsidP="00C9556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A153DB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608F416" w14:textId="3B8EA244" w:rsidR="00F13066" w:rsidRDefault="00F13066" w:rsidP="00C9556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69F3EB6F" w14:textId="37281C86" w:rsidR="00F13066" w:rsidRDefault="00F13066" w:rsidP="00C9556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18DB1520" w14:textId="77777777" w:rsidR="00571863" w:rsidRDefault="00571863" w:rsidP="00C9556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405C3B34" w14:textId="77777777" w:rsidR="00C95563" w:rsidRPr="00A153DB" w:rsidRDefault="00C95563" w:rsidP="00C95563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A4FB597" w14:textId="2DCE16D1" w:rsidR="00B4608F" w:rsidRPr="003774B2" w:rsidRDefault="00BF63A8" w:rsidP="00BF63A8">
      <w:pPr>
        <w:pStyle w:val="1"/>
        <w:shd w:val="clear" w:color="auto" w:fill="auto"/>
        <w:spacing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05C8">
        <w:rPr>
          <w:sz w:val="24"/>
          <w:szCs w:val="24"/>
        </w:rPr>
        <w:t>Наслідк</w:t>
      </w:r>
      <w:r>
        <w:rPr>
          <w:sz w:val="24"/>
          <w:szCs w:val="24"/>
        </w:rPr>
        <w:t>ом</w:t>
      </w:r>
      <w:r w:rsidRPr="002805C8">
        <w:rPr>
          <w:sz w:val="24"/>
          <w:szCs w:val="24"/>
        </w:rPr>
        <w:t xml:space="preserve"> прийняття розробленого проєкту </w:t>
      </w:r>
      <w:r w:rsidRPr="004E0C01">
        <w:rPr>
          <w:sz w:val="24"/>
          <w:szCs w:val="24"/>
        </w:rPr>
        <w:t>рішення стане виконання</w:t>
      </w:r>
      <w:r w:rsidRPr="00BF63A8">
        <w:rPr>
          <w:color w:val="auto"/>
          <w:sz w:val="24"/>
          <w:szCs w:val="24"/>
        </w:rPr>
        <w:t xml:space="preserve"> </w:t>
      </w:r>
      <w:r w:rsidRPr="00D544A1">
        <w:rPr>
          <w:color w:val="auto"/>
          <w:sz w:val="24"/>
          <w:szCs w:val="24"/>
        </w:rPr>
        <w:t>рішення Окружного адміністративного суду міста Києва від 22.06.2018 № 826/17768/17</w:t>
      </w: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861525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1AAC3" w14:textId="77777777" w:rsidR="009143F7" w:rsidRDefault="009143F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45D" w14:textId="77777777" w:rsidR="009143F7" w:rsidRDefault="0091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F2A7" w14:textId="77777777" w:rsidR="009143F7" w:rsidRDefault="009143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509291CB" w:rsidR="00862990" w:rsidRDefault="004347F6" w:rsidP="004347F6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861525">
      <w:rPr>
        <w:sz w:val="12"/>
        <w:szCs w:val="12"/>
        <w:lang w:val="ru-RU"/>
      </w:rPr>
      <w:t>ПЗН-13667-3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21.02.2024</w:t>
    </w:r>
    <w:r w:rsidR="00862990">
      <w:rPr>
        <w:sz w:val="12"/>
        <w:szCs w:val="12"/>
      </w:rPr>
      <w:t xml:space="preserve"> до клопотання 677650107</w:t>
    </w:r>
  </w:p>
  <w:p w14:paraId="2E60DAB9" w14:textId="1A12F1D5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71863" w:rsidRPr="0057186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C6A1" w14:textId="77777777" w:rsidR="009143F7" w:rsidRDefault="009143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1"/>
    <w:rsid w:val="000006A5"/>
    <w:rsid w:val="0001289B"/>
    <w:rsid w:val="000A71E1"/>
    <w:rsid w:val="000C6B52"/>
    <w:rsid w:val="000E6DC8"/>
    <w:rsid w:val="000F1896"/>
    <w:rsid w:val="000F7620"/>
    <w:rsid w:val="00110C03"/>
    <w:rsid w:val="00114807"/>
    <w:rsid w:val="001409D2"/>
    <w:rsid w:val="00154335"/>
    <w:rsid w:val="00175FD0"/>
    <w:rsid w:val="001D056C"/>
    <w:rsid w:val="001D6DF8"/>
    <w:rsid w:val="001E7256"/>
    <w:rsid w:val="001F4AB8"/>
    <w:rsid w:val="00224683"/>
    <w:rsid w:val="00225462"/>
    <w:rsid w:val="00230874"/>
    <w:rsid w:val="00232D6B"/>
    <w:rsid w:val="002370B4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954AB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55536"/>
    <w:rsid w:val="00571863"/>
    <w:rsid w:val="005771B1"/>
    <w:rsid w:val="005824DA"/>
    <w:rsid w:val="0058656C"/>
    <w:rsid w:val="00596FDB"/>
    <w:rsid w:val="005B545F"/>
    <w:rsid w:val="005C5A73"/>
    <w:rsid w:val="00604821"/>
    <w:rsid w:val="00610EA3"/>
    <w:rsid w:val="00611380"/>
    <w:rsid w:val="00612CED"/>
    <w:rsid w:val="00655494"/>
    <w:rsid w:val="006674A5"/>
    <w:rsid w:val="00687415"/>
    <w:rsid w:val="00693023"/>
    <w:rsid w:val="006A0D5A"/>
    <w:rsid w:val="006A3391"/>
    <w:rsid w:val="006B023B"/>
    <w:rsid w:val="006C24FE"/>
    <w:rsid w:val="006C4A91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7F32B7"/>
    <w:rsid w:val="00804744"/>
    <w:rsid w:val="008145CF"/>
    <w:rsid w:val="0081493A"/>
    <w:rsid w:val="00822EED"/>
    <w:rsid w:val="00830DB0"/>
    <w:rsid w:val="008311C1"/>
    <w:rsid w:val="00836982"/>
    <w:rsid w:val="0084529A"/>
    <w:rsid w:val="00861525"/>
    <w:rsid w:val="00862990"/>
    <w:rsid w:val="008669DB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01289"/>
    <w:rsid w:val="00A12978"/>
    <w:rsid w:val="00A13BB0"/>
    <w:rsid w:val="00A153DB"/>
    <w:rsid w:val="00A20E31"/>
    <w:rsid w:val="00A26935"/>
    <w:rsid w:val="00A41C6A"/>
    <w:rsid w:val="00A723F2"/>
    <w:rsid w:val="00A738AB"/>
    <w:rsid w:val="00AA7FEA"/>
    <w:rsid w:val="00AF38B3"/>
    <w:rsid w:val="00B1059F"/>
    <w:rsid w:val="00B1394F"/>
    <w:rsid w:val="00B205E2"/>
    <w:rsid w:val="00B25080"/>
    <w:rsid w:val="00B329EF"/>
    <w:rsid w:val="00B4608F"/>
    <w:rsid w:val="00B65281"/>
    <w:rsid w:val="00B76A35"/>
    <w:rsid w:val="00B838DD"/>
    <w:rsid w:val="00B90FAD"/>
    <w:rsid w:val="00B9275D"/>
    <w:rsid w:val="00B975D8"/>
    <w:rsid w:val="00BA02ED"/>
    <w:rsid w:val="00BA3AB4"/>
    <w:rsid w:val="00BB2AE1"/>
    <w:rsid w:val="00BC2427"/>
    <w:rsid w:val="00BD4A71"/>
    <w:rsid w:val="00BF63A8"/>
    <w:rsid w:val="00C12782"/>
    <w:rsid w:val="00C16815"/>
    <w:rsid w:val="00C22081"/>
    <w:rsid w:val="00C4349F"/>
    <w:rsid w:val="00C55D40"/>
    <w:rsid w:val="00C722B3"/>
    <w:rsid w:val="00C8138C"/>
    <w:rsid w:val="00C863CE"/>
    <w:rsid w:val="00C87121"/>
    <w:rsid w:val="00C95563"/>
    <w:rsid w:val="00C95FDB"/>
    <w:rsid w:val="00C97F46"/>
    <w:rsid w:val="00CA031A"/>
    <w:rsid w:val="00CC567E"/>
    <w:rsid w:val="00D01B15"/>
    <w:rsid w:val="00D2155A"/>
    <w:rsid w:val="00D23EC9"/>
    <w:rsid w:val="00D35106"/>
    <w:rsid w:val="00D40C56"/>
    <w:rsid w:val="00D53919"/>
    <w:rsid w:val="00D544A1"/>
    <w:rsid w:val="00D662B1"/>
    <w:rsid w:val="00D74E29"/>
    <w:rsid w:val="00D963CE"/>
    <w:rsid w:val="00D973B0"/>
    <w:rsid w:val="00DB1C69"/>
    <w:rsid w:val="00DC483F"/>
    <w:rsid w:val="00DC6EFC"/>
    <w:rsid w:val="00DE6903"/>
    <w:rsid w:val="00E04075"/>
    <w:rsid w:val="00E12AFC"/>
    <w:rsid w:val="00E15570"/>
    <w:rsid w:val="00E17376"/>
    <w:rsid w:val="00E22019"/>
    <w:rsid w:val="00E351CD"/>
    <w:rsid w:val="00E35E30"/>
    <w:rsid w:val="00E3762C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10DE"/>
    <w:rsid w:val="00ED59A0"/>
    <w:rsid w:val="00EE0C80"/>
    <w:rsid w:val="00EE6044"/>
    <w:rsid w:val="00EF0B77"/>
    <w:rsid w:val="00EF46F6"/>
    <w:rsid w:val="00EF7797"/>
    <w:rsid w:val="00EF7F29"/>
    <w:rsid w:val="00F0633C"/>
    <w:rsid w:val="00F13066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74F99"/>
    <w:rsid w:val="00F81254"/>
    <w:rsid w:val="00FA2446"/>
    <w:rsid w:val="00FA5B16"/>
    <w:rsid w:val="00FB18EF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  <w:style w:type="character" w:customStyle="1" w:styleId="rvts9">
    <w:name w:val="rvts9"/>
    <w:basedOn w:val="a0"/>
    <w:rsid w:val="00230874"/>
  </w:style>
  <w:style w:type="character" w:customStyle="1" w:styleId="rvts37">
    <w:name w:val="rvts37"/>
    <w:basedOn w:val="a0"/>
    <w:rsid w:val="0023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5316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cp:lastModifiedBy>Зайчук Максим Володимирович</cp:lastModifiedBy>
  <cp:revision>161</cp:revision>
  <cp:lastPrinted>2021-11-25T14:49:00Z</cp:lastPrinted>
  <dcterms:created xsi:type="dcterms:W3CDTF">2019-01-23T09:20:00Z</dcterms:created>
  <dcterms:modified xsi:type="dcterms:W3CDTF">2024-03-07T14:36:00Z</dcterms:modified>
</cp:coreProperties>
</file>