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762459274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762459274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7E2F4DEB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B0753C">
        <w:rPr>
          <w:b/>
          <w:bCs/>
          <w:sz w:val="24"/>
          <w:szCs w:val="24"/>
          <w:lang w:val="ru-RU"/>
        </w:rPr>
        <w:t>ПЗН-77245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B0753C">
        <w:rPr>
          <w:b/>
          <w:bCs/>
          <w:sz w:val="24"/>
          <w:szCs w:val="24"/>
          <w:lang w:val="ru-RU"/>
        </w:rPr>
        <w:t>28.01.2025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7CB5062E" w:rsidR="00E17376" w:rsidRDefault="00B0753C" w:rsidP="00B0753C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b/>
          <w:i/>
          <w:iCs/>
          <w:sz w:val="24"/>
          <w:szCs w:val="24"/>
        </w:rPr>
      </w:pPr>
      <w:r w:rsidRPr="00B0753C">
        <w:rPr>
          <w:b/>
          <w:i/>
          <w:iCs/>
          <w:sz w:val="24"/>
          <w:szCs w:val="24"/>
        </w:rPr>
        <w:t xml:space="preserve">Про передачу громадянам </w:t>
      </w:r>
      <w:proofErr w:type="spellStart"/>
      <w:r w:rsidRPr="00B0753C">
        <w:rPr>
          <w:b/>
          <w:i/>
          <w:iCs/>
          <w:sz w:val="24"/>
          <w:szCs w:val="24"/>
        </w:rPr>
        <w:t>Бабченку</w:t>
      </w:r>
      <w:proofErr w:type="spellEnd"/>
      <w:r w:rsidRPr="00B0753C">
        <w:rPr>
          <w:b/>
          <w:i/>
          <w:iCs/>
          <w:sz w:val="24"/>
          <w:szCs w:val="24"/>
        </w:rPr>
        <w:t xml:space="preserve"> Володимиру Анатолійовичу та </w:t>
      </w:r>
      <w:proofErr w:type="spellStart"/>
      <w:r w:rsidRPr="00B0753C">
        <w:rPr>
          <w:b/>
          <w:i/>
          <w:iCs/>
          <w:sz w:val="24"/>
          <w:szCs w:val="24"/>
        </w:rPr>
        <w:t>Бабченку</w:t>
      </w:r>
      <w:proofErr w:type="spellEnd"/>
      <w:r w:rsidRPr="00B0753C">
        <w:rPr>
          <w:b/>
          <w:i/>
          <w:iCs/>
          <w:sz w:val="24"/>
          <w:szCs w:val="24"/>
        </w:rPr>
        <w:t xml:space="preserve"> Дмитру Анатолійовичу у приватну власність земельної ділянки для будівництва і обслуговування жилого будинку, господарських будівель і споруд (присадибна ділянка) на вул. Резервній, 4 в Оболонському районі міста Києва</w:t>
      </w:r>
    </w:p>
    <w:p w14:paraId="47BB20A0" w14:textId="77777777" w:rsidR="00B0753C" w:rsidRPr="003774B2" w:rsidRDefault="00B0753C" w:rsidP="00B0753C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6230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Бабченко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Дмитро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Анатолійович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, Бабченко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Володимир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Анатолійович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22.01.2025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762459274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8000000000:78:096:0058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Резервна, 4 у Оболонському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0,0580 га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FEC78B5" w14:textId="77777777" w:rsidR="00B0753C" w:rsidRDefault="00B0753C" w:rsidP="00B0753C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BE6A94"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  <w:p w14:paraId="08D0261A" w14:textId="2A801D30" w:rsidR="00E659C4" w:rsidRPr="00EA27C8" w:rsidRDefault="00E659C4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</w:p>
        </w:tc>
      </w:tr>
      <w:tr w:rsidR="00B0753C" w14:paraId="31D36722" w14:textId="77777777" w:rsidTr="00EA27C8">
        <w:tc>
          <w:tcPr>
            <w:tcW w:w="3374" w:type="dxa"/>
          </w:tcPr>
          <w:p w14:paraId="58C1B7B7" w14:textId="40E6D7B5" w:rsidR="00B0753C" w:rsidRDefault="00B0753C" w:rsidP="00B0753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C511C2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373" w:type="dxa"/>
          </w:tcPr>
          <w:p w14:paraId="1AB1CB5D" w14:textId="60F64B1C" w:rsidR="00B0753C" w:rsidRPr="00EA27C8" w:rsidRDefault="00B0753C" w:rsidP="00B0753C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B0753C" w14:paraId="63BC5CAE" w14:textId="77777777" w:rsidTr="00EA27C8">
        <w:tc>
          <w:tcPr>
            <w:tcW w:w="3374" w:type="dxa"/>
          </w:tcPr>
          <w:p w14:paraId="0463F5F7" w14:textId="23F3ED0F" w:rsidR="00B0753C" w:rsidRPr="00C511C2" w:rsidRDefault="00B0753C" w:rsidP="00B0753C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1161CD">
              <w:rPr>
                <w:b w:val="0"/>
                <w:i/>
                <w:sz w:val="24"/>
                <w:szCs w:val="24"/>
              </w:rPr>
              <w:t xml:space="preserve">Цільове призначення:                    </w:t>
            </w:r>
          </w:p>
        </w:tc>
        <w:tc>
          <w:tcPr>
            <w:tcW w:w="6373" w:type="dxa"/>
          </w:tcPr>
          <w:p w14:paraId="09DFA4A7" w14:textId="425677B7" w:rsidR="00B0753C" w:rsidRDefault="00B0753C" w:rsidP="00B0753C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02.01 </w:t>
            </w:r>
            <w:r w:rsidRPr="00BE6A94">
              <w:rPr>
                <w:b w:val="0"/>
                <w:i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5B34056C" w14:textId="77777777" w:rsidR="00B0753C" w:rsidRPr="003774B2" w:rsidRDefault="00B0753C" w:rsidP="00B0753C">
      <w:pPr>
        <w:pStyle w:val="1"/>
        <w:shd w:val="clear" w:color="auto" w:fill="auto"/>
        <w:spacing w:after="120"/>
        <w:ind w:right="141" w:firstLine="567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09CFFF" w14:textId="77777777" w:rsidR="00B0753C" w:rsidRPr="003774B2" w:rsidRDefault="00B0753C" w:rsidP="00B0753C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99" w:type="dxa"/>
        <w:tblInd w:w="-34" w:type="dxa"/>
        <w:tblLook w:val="04A0" w:firstRow="1" w:lastRow="0" w:firstColumn="1" w:lastColumn="0" w:noHBand="0" w:noVBand="1"/>
      </w:tblPr>
      <w:tblGrid>
        <w:gridCol w:w="3462"/>
        <w:gridCol w:w="6437"/>
      </w:tblGrid>
      <w:tr w:rsidR="00E12AC0" w:rsidRPr="003774B2" w14:paraId="4A887E4C" w14:textId="77777777" w:rsidTr="00EA27C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437" w:type="dxa"/>
          </w:tcPr>
          <w:p w14:paraId="687E2619" w14:textId="585EAC0C" w:rsidR="00E12AC0" w:rsidRPr="00B0753C" w:rsidRDefault="00B0753C" w:rsidP="001A6873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B0753C">
              <w:rPr>
                <w:i/>
                <w:sz w:val="24"/>
                <w:szCs w:val="24"/>
              </w:rPr>
              <w:t xml:space="preserve">На земельній ділянці розташовані житловий будинок загальною площею </w:t>
            </w:r>
            <w:r>
              <w:rPr>
                <w:i/>
                <w:sz w:val="24"/>
                <w:szCs w:val="24"/>
              </w:rPr>
              <w:t>112,1</w:t>
            </w:r>
            <w:r w:rsidRPr="00B0753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0753C">
              <w:rPr>
                <w:i/>
                <w:sz w:val="24"/>
                <w:szCs w:val="24"/>
              </w:rPr>
              <w:t>кв</w:t>
            </w:r>
            <w:proofErr w:type="spellEnd"/>
            <w:r w:rsidRPr="00B0753C">
              <w:rPr>
                <w:i/>
                <w:sz w:val="24"/>
                <w:szCs w:val="24"/>
              </w:rPr>
              <w:t>. м</w:t>
            </w:r>
            <w:r w:rsidR="001A6873">
              <w:rPr>
                <w:i/>
                <w:sz w:val="24"/>
                <w:szCs w:val="24"/>
              </w:rPr>
              <w:t xml:space="preserve"> (літ. А)</w:t>
            </w:r>
            <w:r w:rsidRPr="00B0753C">
              <w:rPr>
                <w:i/>
                <w:sz w:val="24"/>
                <w:szCs w:val="24"/>
              </w:rPr>
              <w:t xml:space="preserve"> та господарські будівлі (реєстраційний номер об’єкта нерухомого майна: 2462141480000), які належать громадянам </w:t>
            </w:r>
            <w:proofErr w:type="spellStart"/>
            <w:r>
              <w:rPr>
                <w:i/>
                <w:sz w:val="24"/>
                <w:szCs w:val="24"/>
              </w:rPr>
              <w:t>Бабченк</w:t>
            </w:r>
            <w:r w:rsidR="001A6873">
              <w:rPr>
                <w:i/>
                <w:sz w:val="24"/>
                <w:szCs w:val="24"/>
              </w:rPr>
              <w:t>у</w:t>
            </w:r>
            <w:proofErr w:type="spellEnd"/>
            <w:r>
              <w:rPr>
                <w:i/>
                <w:sz w:val="24"/>
                <w:szCs w:val="24"/>
              </w:rPr>
              <w:t xml:space="preserve"> В.А. та </w:t>
            </w:r>
            <w:proofErr w:type="spellStart"/>
            <w:r>
              <w:rPr>
                <w:i/>
                <w:sz w:val="24"/>
                <w:szCs w:val="24"/>
              </w:rPr>
              <w:t>Бабченк</w:t>
            </w:r>
            <w:r w:rsidR="001A6873">
              <w:rPr>
                <w:i/>
                <w:sz w:val="24"/>
                <w:szCs w:val="24"/>
              </w:rPr>
              <w:t>у</w:t>
            </w:r>
            <w:proofErr w:type="spellEnd"/>
            <w:r>
              <w:rPr>
                <w:i/>
                <w:sz w:val="24"/>
                <w:szCs w:val="24"/>
              </w:rPr>
              <w:t xml:space="preserve"> В.А.</w:t>
            </w:r>
            <w:r w:rsidRPr="00B0753C">
              <w:rPr>
                <w:i/>
                <w:sz w:val="24"/>
                <w:szCs w:val="24"/>
              </w:rPr>
              <w:t xml:space="preserve"> (розмір часток: </w:t>
            </w:r>
            <w:r>
              <w:rPr>
                <w:i/>
                <w:sz w:val="24"/>
                <w:szCs w:val="24"/>
              </w:rPr>
              <w:t>1/2</w:t>
            </w:r>
            <w:r w:rsidRPr="00B0753C">
              <w:rPr>
                <w:i/>
                <w:sz w:val="24"/>
                <w:szCs w:val="24"/>
              </w:rPr>
              <w:t xml:space="preserve">) на праві власності </w:t>
            </w:r>
            <w:r>
              <w:rPr>
                <w:i/>
                <w:sz w:val="24"/>
                <w:szCs w:val="24"/>
              </w:rPr>
              <w:t xml:space="preserve">на підставі договору дарування від 13.07.2022 № 321 </w:t>
            </w:r>
            <w:r w:rsidRPr="00B0753C">
              <w:rPr>
                <w:i/>
                <w:sz w:val="24"/>
                <w:szCs w:val="24"/>
              </w:rPr>
              <w:t xml:space="preserve">(право власності зареєстровано в Державному реєстрі речових прав на нерухоме майно </w:t>
            </w:r>
            <w:r>
              <w:rPr>
                <w:i/>
                <w:sz w:val="24"/>
                <w:szCs w:val="24"/>
              </w:rPr>
              <w:t>13.07.2022</w:t>
            </w:r>
            <w:r w:rsidRPr="00B0753C">
              <w:rPr>
                <w:i/>
                <w:sz w:val="24"/>
                <w:szCs w:val="24"/>
              </w:rPr>
              <w:t>, номери відомостей про речове право: 47314247, 47314099 відповідно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B0753C">
              <w:rPr>
                <w:i/>
                <w:sz w:val="24"/>
                <w:szCs w:val="24"/>
              </w:rPr>
              <w:t>інформаційна довідка з Державного реєстру речових прав на нерухоме м</w:t>
            </w:r>
            <w:r>
              <w:rPr>
                <w:i/>
                <w:sz w:val="24"/>
                <w:szCs w:val="24"/>
              </w:rPr>
              <w:t xml:space="preserve">айно від </w:t>
            </w:r>
            <w:r w:rsidRPr="00B0753C">
              <w:rPr>
                <w:i/>
                <w:sz w:val="24"/>
                <w:szCs w:val="24"/>
              </w:rPr>
              <w:t>28.01.2025</w:t>
            </w:r>
            <w:r>
              <w:rPr>
                <w:i/>
                <w:sz w:val="24"/>
                <w:szCs w:val="24"/>
              </w:rPr>
              <w:t xml:space="preserve"> № </w:t>
            </w:r>
            <w:r w:rsidR="00AE0A79" w:rsidRPr="00AE0A79">
              <w:rPr>
                <w:i/>
                <w:sz w:val="24"/>
                <w:szCs w:val="24"/>
              </w:rPr>
              <w:t>409917024</w:t>
            </w:r>
            <w:r w:rsidRPr="00B0753C"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B0753C">
        <w:trPr>
          <w:cantSplit/>
          <w:trHeight w:val="415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437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CD7B78">
        <w:trPr>
          <w:cantSplit/>
          <w:trHeight w:val="2966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37" w:type="dxa"/>
          </w:tcPr>
          <w:p w14:paraId="14888231" w14:textId="20961709" w:rsidR="00E12AC0" w:rsidRPr="00E12AC0" w:rsidRDefault="00AE0A79" w:rsidP="00CD7B78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AE0A79">
              <w:rPr>
                <w:i/>
                <w:sz w:val="24"/>
                <w:szCs w:val="24"/>
              </w:rPr>
              <w:t xml:space="preserve">ідповідно до Генерального плану міста Києва та </w:t>
            </w:r>
            <w:proofErr w:type="spellStart"/>
            <w:r w:rsidRPr="00AE0A79">
              <w:rPr>
                <w:i/>
                <w:sz w:val="24"/>
                <w:szCs w:val="24"/>
              </w:rPr>
              <w:t>проєкту</w:t>
            </w:r>
            <w:proofErr w:type="spellEnd"/>
            <w:r w:rsidRPr="00AE0A79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території житлової садибної забудови (уточн</w:t>
            </w:r>
            <w:r w:rsidR="00CD7B78">
              <w:rPr>
                <w:i/>
                <w:sz w:val="24"/>
                <w:szCs w:val="24"/>
              </w:rPr>
              <w:t>я</w:t>
            </w:r>
            <w:r w:rsidRPr="00AE0A79">
              <w:rPr>
                <w:i/>
                <w:sz w:val="24"/>
                <w:szCs w:val="24"/>
              </w:rPr>
              <w:t>ється червоними лініями)</w:t>
            </w:r>
            <w:r>
              <w:rPr>
                <w:i/>
                <w:sz w:val="24"/>
                <w:szCs w:val="24"/>
              </w:rPr>
              <w:t xml:space="preserve"> (лист Департаменту містобудування та архітектури виконавчого органу Київської міської ради (Київської міської державної адміністрації) від 18.12.2024 № 055-14273)</w:t>
            </w:r>
            <w:r w:rsidRPr="00AE0A79">
              <w:rPr>
                <w:i/>
                <w:sz w:val="24"/>
                <w:szCs w:val="24"/>
              </w:rPr>
              <w:t>.</w:t>
            </w:r>
          </w:p>
        </w:tc>
      </w:tr>
      <w:tr w:rsidR="00765699" w:rsidRPr="003774B2" w14:paraId="67EEAA64" w14:textId="77777777" w:rsidTr="00CD7B78">
        <w:trPr>
          <w:cantSplit/>
          <w:trHeight w:val="750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437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CD7B78">
        <w:trPr>
          <w:cantSplit/>
          <w:trHeight w:val="421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437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CD7B78">
        <w:trPr>
          <w:cantSplit/>
          <w:trHeight w:val="7926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437" w:type="dxa"/>
          </w:tcPr>
          <w:p w14:paraId="172C6D21" w14:textId="77777777" w:rsidR="00AE0A79" w:rsidRPr="00AE0A79" w:rsidRDefault="00AE0A79" w:rsidP="00AE0A7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поза межами червоних ліній.</w:t>
            </w:r>
          </w:p>
          <w:p w14:paraId="6037EEB6" w14:textId="6E9A88C9" w:rsidR="00AE0A79" w:rsidRPr="00AE0A79" w:rsidRDefault="00AE0A79" w:rsidP="00AE0A7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сформована та зареєстрована у Державному земельному кадастрі з кадастровим номером 8000000000: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78</w:t>
            </w: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096</w:t>
            </w: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:00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58</w:t>
            </w: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на підставі розробленої </w:t>
            </w:r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технічн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ої</w:t>
            </w:r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документаці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ї</w:t>
            </w:r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із землеустрою щодо встановлення (відновлення) меж земельної ділянки в натурі (на місцевості) гр. </w:t>
            </w:r>
            <w:proofErr w:type="spellStart"/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Бабченка</w:t>
            </w:r>
            <w:proofErr w:type="spellEnd"/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Анатолія Дмитровича для будівництва і обслуговування житлового будинку, господарських будівель і споруд (присадибна ділянка) </w:t>
            </w:r>
            <w:r w:rsid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</w:t>
            </w:r>
            <w:r w:rsidR="00CD7B78" w:rsidRPr="00CD7B7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м. Київ, Оболонський район, вул. Резервна, 4 </w:t>
            </w: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(рішенням Київської міської ради документація із землеустрою не затверджувалась). </w:t>
            </w:r>
          </w:p>
          <w:p w14:paraId="5CCDA8D6" w14:textId="77777777" w:rsidR="00AE0A79" w:rsidRPr="00AE0A79" w:rsidRDefault="00AE0A79" w:rsidP="00AE0A7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8D30916" w14:textId="77777777" w:rsidR="00AE0A79" w:rsidRPr="00AE0A79" w:rsidRDefault="00AE0A79" w:rsidP="00AE0A7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від 17.04.2018 у справі № 826/8107/16, від 16.09.2021 у справі № 826/8847/16. </w:t>
            </w:r>
          </w:p>
          <w:p w14:paraId="6528D3CD" w14:textId="331067AF" w:rsidR="00812178" w:rsidRPr="003774B2" w:rsidRDefault="00AE0A79" w:rsidP="00AE0A7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AE0A7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39879B01" w14:textId="77777777" w:rsidR="00CD7B78" w:rsidRPr="007E40A3" w:rsidRDefault="00CD7B78" w:rsidP="00CD7B78">
      <w:pPr>
        <w:pStyle w:val="1"/>
        <w:spacing w:after="0"/>
        <w:ind w:firstLine="420"/>
        <w:jc w:val="both"/>
        <w:rPr>
          <w:sz w:val="24"/>
          <w:szCs w:val="24"/>
        </w:rPr>
      </w:pPr>
      <w:r w:rsidRPr="007E40A3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2252362E" w14:textId="77777777" w:rsidR="00CD7B78" w:rsidRPr="007E40A3" w:rsidRDefault="00CD7B78" w:rsidP="00CD7B78">
      <w:pPr>
        <w:pStyle w:val="1"/>
        <w:spacing w:after="0"/>
        <w:ind w:firstLine="420"/>
        <w:jc w:val="both"/>
        <w:rPr>
          <w:sz w:val="24"/>
          <w:szCs w:val="24"/>
        </w:rPr>
      </w:pPr>
      <w:proofErr w:type="spellStart"/>
      <w:r w:rsidRPr="007E40A3">
        <w:rPr>
          <w:sz w:val="24"/>
          <w:szCs w:val="24"/>
        </w:rPr>
        <w:t>Проєкт</w:t>
      </w:r>
      <w:proofErr w:type="spellEnd"/>
      <w:r w:rsidRPr="007E40A3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6F53AC2" w14:textId="77777777" w:rsidR="00CD7B78" w:rsidRPr="007E40A3" w:rsidRDefault="00CD7B78" w:rsidP="00CD7B78">
      <w:pPr>
        <w:pStyle w:val="1"/>
        <w:spacing w:after="0"/>
        <w:ind w:firstLine="420"/>
        <w:jc w:val="both"/>
        <w:rPr>
          <w:sz w:val="24"/>
          <w:szCs w:val="24"/>
        </w:rPr>
      </w:pPr>
      <w:proofErr w:type="spellStart"/>
      <w:r w:rsidRPr="007E40A3">
        <w:rPr>
          <w:sz w:val="24"/>
          <w:szCs w:val="24"/>
        </w:rPr>
        <w:t>Проєкт</w:t>
      </w:r>
      <w:proofErr w:type="spellEnd"/>
      <w:r w:rsidRPr="007E40A3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</w:t>
      </w:r>
      <w:r w:rsidRPr="007E40A3">
        <w:rPr>
          <w:sz w:val="24"/>
          <w:szCs w:val="24"/>
        </w:rPr>
        <w:lastRenderedPageBreak/>
        <w:t>доступ до публічної інформації».</w:t>
      </w:r>
    </w:p>
    <w:p w14:paraId="48DBF938" w14:textId="23BEDC8D" w:rsidR="00CD7B78" w:rsidRDefault="00CD7B78" w:rsidP="00CD7B78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proofErr w:type="spellStart"/>
      <w:r w:rsidRPr="007E40A3">
        <w:rPr>
          <w:sz w:val="24"/>
          <w:szCs w:val="24"/>
        </w:rPr>
        <w:t>Проєкт</w:t>
      </w:r>
      <w:proofErr w:type="spellEnd"/>
      <w:r w:rsidRPr="007E40A3">
        <w:rPr>
          <w:sz w:val="24"/>
          <w:szCs w:val="24"/>
        </w:rPr>
        <w:t xml:space="preserve"> рішення містить інформацію про фізичн</w:t>
      </w:r>
      <w:r w:rsidR="001A6873">
        <w:rPr>
          <w:sz w:val="24"/>
          <w:szCs w:val="24"/>
        </w:rPr>
        <w:t>их</w:t>
      </w:r>
      <w:r w:rsidRPr="007E40A3">
        <w:rPr>
          <w:sz w:val="24"/>
          <w:szCs w:val="24"/>
        </w:rPr>
        <w:t xml:space="preserve"> ос</w:t>
      </w:r>
      <w:r w:rsidR="001A6873">
        <w:rPr>
          <w:sz w:val="24"/>
          <w:szCs w:val="24"/>
        </w:rPr>
        <w:t>іб</w:t>
      </w:r>
      <w:r w:rsidRPr="007E40A3">
        <w:rPr>
          <w:sz w:val="24"/>
          <w:szCs w:val="24"/>
        </w:rPr>
        <w:t xml:space="preserve">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2761017" w14:textId="77777777" w:rsidR="00CA391A" w:rsidRPr="00DF2891" w:rsidRDefault="00CA391A" w:rsidP="006A339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41D96076" w14:textId="3E62129E" w:rsidR="00CD7B78" w:rsidRDefault="00CD7B78" w:rsidP="00CD7B78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7A688E">
        <w:rPr>
          <w:color w:val="auto"/>
          <w:sz w:val="24"/>
          <w:szCs w:val="24"/>
        </w:rPr>
        <w:t xml:space="preserve">Наслідками прийняття розробленого </w:t>
      </w:r>
      <w:proofErr w:type="spellStart"/>
      <w:r w:rsidRPr="007A688E">
        <w:rPr>
          <w:color w:val="auto"/>
          <w:sz w:val="24"/>
          <w:szCs w:val="24"/>
        </w:rPr>
        <w:t>проєкту</w:t>
      </w:r>
      <w:proofErr w:type="spellEnd"/>
      <w:r w:rsidRPr="007A688E">
        <w:rPr>
          <w:color w:val="auto"/>
          <w:sz w:val="24"/>
          <w:szCs w:val="24"/>
        </w:rPr>
        <w:t xml:space="preserve"> рішення стане реалізація громадян</w:t>
      </w:r>
      <w:r w:rsidR="001A6873">
        <w:rPr>
          <w:color w:val="auto"/>
          <w:sz w:val="24"/>
          <w:szCs w:val="24"/>
        </w:rPr>
        <w:t>ами</w:t>
      </w:r>
      <w:bookmarkStart w:id="0" w:name="_GoBack"/>
      <w:bookmarkEnd w:id="0"/>
      <w:r w:rsidRPr="007A688E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B0753C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B0753C">
      <w:headerReference w:type="default" r:id="rId11"/>
      <w:footerReference w:type="default" r:id="rId12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159DBD1C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B0753C">
      <w:rPr>
        <w:sz w:val="12"/>
        <w:szCs w:val="12"/>
        <w:lang w:val="ru-RU"/>
      </w:rPr>
      <w:t>ПЗН-77245</w:t>
    </w:r>
    <w:r w:rsidR="00862990">
      <w:rPr>
        <w:sz w:val="12"/>
        <w:szCs w:val="12"/>
      </w:rPr>
      <w:t xml:space="preserve"> від </w:t>
    </w:r>
    <w:r w:rsidR="00B2667F" w:rsidRPr="00B0753C">
      <w:rPr>
        <w:sz w:val="12"/>
        <w:szCs w:val="12"/>
        <w:lang w:val="ru-RU"/>
      </w:rPr>
      <w:t>28.01.2025</w:t>
    </w:r>
    <w:r w:rsidR="00862990">
      <w:rPr>
        <w:sz w:val="12"/>
        <w:szCs w:val="12"/>
      </w:rPr>
      <w:t xml:space="preserve"> до </w:t>
    </w:r>
    <w:r w:rsidR="00CD7B78">
      <w:rPr>
        <w:sz w:val="12"/>
        <w:szCs w:val="12"/>
      </w:rPr>
      <w:t>справи</w:t>
    </w:r>
    <w:r w:rsidR="00862990">
      <w:rPr>
        <w:sz w:val="12"/>
        <w:szCs w:val="12"/>
      </w:rPr>
      <w:t xml:space="preserve"> 762459274</w:t>
    </w:r>
  </w:p>
  <w:p w14:paraId="2E60DAB9" w14:textId="28E3E6A7" w:rsidR="00862990" w:rsidRPr="007B7541" w:rsidRDefault="00CD7B78" w:rsidP="00CD7B78">
    <w:pPr>
      <w:pStyle w:val="ab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62990" w:rsidRPr="007B7541">
      <w:rPr>
        <w:rFonts w:ascii="Times New Roman" w:hAnsi="Times New Roman" w:cs="Times New Roman"/>
        <w:sz w:val="12"/>
        <w:szCs w:val="12"/>
      </w:rPr>
      <w:t>Сторінка</w:t>
    </w:r>
    <w:r w:rsidR="00862990"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662438850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A6873" w:rsidRPr="001A687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A6873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26E6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E0A79"/>
    <w:rsid w:val="00AF38B3"/>
    <w:rsid w:val="00B0753C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D7B78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8A72-FACC-4E36-B06B-4E8BBA90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5673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3</cp:revision>
  <cp:lastPrinted>2025-02-04T07:54:00Z</cp:lastPrinted>
  <dcterms:created xsi:type="dcterms:W3CDTF">2025-01-28T07:46:00Z</dcterms:created>
  <dcterms:modified xsi:type="dcterms:W3CDTF">2025-02-04T07:56:00Z</dcterms:modified>
</cp:coreProperties>
</file>