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377D" w14:textId="56A751E2" w:rsidR="00D0189B" w:rsidRDefault="00990210" w:rsidP="00D018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BFD3487" wp14:editId="17F8E337">
                <wp:simplePos x="0" y="0"/>
                <wp:positionH relativeFrom="column">
                  <wp:posOffset>4042440</wp:posOffset>
                </wp:positionH>
                <wp:positionV relativeFrom="paragraph">
                  <wp:posOffset>-17840</wp:posOffset>
                </wp:positionV>
                <wp:extent cx="1454040" cy="296280"/>
                <wp:effectExtent l="114300" t="114300" r="133985" b="11049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5404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1D9D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313.35pt;margin-top:-6.35pt;width:124.45pt;height:3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">
                <v:imagedata r:id="rId6" o:title=""/>
              </v:shape>
            </w:pict>
          </mc:Fallback>
        </mc:AlternateContent>
      </w:r>
      <w:r w:rsidR="00B44D69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0D70BEF" wp14:editId="2C8F31BF">
                <wp:simplePos x="0" y="0"/>
                <wp:positionH relativeFrom="column">
                  <wp:posOffset>4182480</wp:posOffset>
                </wp:positionH>
                <wp:positionV relativeFrom="paragraph">
                  <wp:posOffset>-74000</wp:posOffset>
                </wp:positionV>
                <wp:extent cx="192600" cy="162000"/>
                <wp:effectExtent l="114300" t="114300" r="112395" b="11747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2600" cy="16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8C65B" id="Рукописный ввод 2" o:spid="_x0000_s1026" type="#_x0000_t75" style="position:absolute;margin-left:324.4pt;margin-top:-10.8pt;width:25.0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">
                <v:imagedata r:id="rId8" o:title=""/>
              </v:shape>
            </w:pict>
          </mc:Fallback>
        </mc:AlternateContent>
      </w:r>
      <w:r w:rsidR="00B44D69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 wp14:anchorId="0B1E0BB1" wp14:editId="45252B15">
            <wp:extent cx="5731510" cy="23101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B9FE" w14:textId="08775662" w:rsidR="00B44D69" w:rsidRPr="00B44D69" w:rsidRDefault="00B44D69" w:rsidP="00D53272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14:paraId="291FC967" w14:textId="77777777" w:rsidR="00B44D69" w:rsidRDefault="00B44D69" w:rsidP="00D53272">
      <w:pPr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36A53B" w14:textId="77777777" w:rsidR="002A1B73" w:rsidRDefault="00D0189B" w:rsidP="002A1B73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A1B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врегулювання відносин </w:t>
      </w:r>
    </w:p>
    <w:p w14:paraId="0EEE3628" w14:textId="77777777" w:rsidR="002A1B73" w:rsidRDefault="002A1B73" w:rsidP="002A1B73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комунальної власності територіальної </w:t>
      </w:r>
    </w:p>
    <w:p w14:paraId="5C27B2D3" w14:textId="01747469" w:rsidR="002A1B73" w:rsidRDefault="002A1B73" w:rsidP="002A1B73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громади міста Києва за участі осіб, </w:t>
      </w:r>
    </w:p>
    <w:p w14:paraId="6BA2859B" w14:textId="09B71BB3" w:rsidR="002A1B73" w:rsidRDefault="002A1B73" w:rsidP="002A1B73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пов’язаних з державою-агресором</w:t>
      </w:r>
    </w:p>
    <w:p w14:paraId="30709BD0" w14:textId="6B164590" w:rsidR="00D53272" w:rsidRDefault="00D53272" w:rsidP="00D532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09BDB1" w14:textId="311AE739" w:rsidR="002A1B73" w:rsidRDefault="002A1B73" w:rsidP="002A1B73">
      <w:pPr>
        <w:pBdr>
          <w:top w:val="nil"/>
          <w:left w:val="nil"/>
          <w:bottom w:val="nil"/>
          <w:right w:val="nil"/>
          <w:between w:val="nil"/>
        </w:pBdr>
        <w:spacing w:after="16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захисту суверенітету і територіальної цілісності України, національних інтересів, національної безпеки, забезпечення її економічної самостійності, прав, свобод та законних інтересів громадян України, суспільства та держави, враховуючи повномасштабну агресивну війну, яку російська федерація розв'язала і веде проти України та Українського народу з порушенням норм міжнародного права, вчинені державою-агресором злочини проти людства, виходячи з положень Конституції України, Декларації про державний суверенітет України та загальновизнаних міжнародних норм і правил, зокрема щодо суверенного права України на захист, керуючись законами України «Про місцеве самоврядування в Україні», «Про столицю України – місто-герой Київ», «Про зовнішньоекономічну діяльність», Статутом територіальної громади міста Києва та Регламентом Київської міської ради, беручи до уваги рішення Київської 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1EE9">
        <w:rPr>
          <w:rFonts w:ascii="Times New Roman" w:hAnsi="Times New Roman" w:cs="Times New Roman"/>
          <w:sz w:val="28"/>
          <w:szCs w:val="28"/>
        </w:rPr>
        <w:t xml:space="preserve">від 16 березня 2017 року № 9/2231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EE9">
        <w:rPr>
          <w:rFonts w:ascii="Times New Roman" w:hAnsi="Times New Roman" w:cs="Times New Roman"/>
          <w:sz w:val="28"/>
          <w:szCs w:val="28"/>
        </w:rPr>
        <w:t>Про суб'єктів господарювання Російської Федерації та таких, що знаходяться під прямим чи опосередкованим контролем фізичних чи юридичних осіб Російської Федерації, що прямо чи опосередковано здійснюють господарську діяльність в місті Києві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EE9">
        <w:rPr>
          <w:rFonts w:ascii="Times New Roman" w:hAnsi="Times New Roman" w:cs="Times New Roman"/>
          <w:sz w:val="28"/>
          <w:szCs w:val="28"/>
        </w:rPr>
        <w:t xml:space="preserve">, рішення Київської міської ради від 15 травня 2019 року № 537/7193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EE9">
        <w:rPr>
          <w:rFonts w:ascii="Times New Roman" w:hAnsi="Times New Roman" w:cs="Times New Roman"/>
          <w:sz w:val="28"/>
          <w:szCs w:val="28"/>
        </w:rPr>
        <w:t>Про встановлення заборони передачі майна та земель комунальної власності територіальної громади міста Києва у власність або користування юридичним особам, у статутних капіталах яких є частка держави-агресора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 Указ Президента України «Про введення воєнного стану в Україні» від 24 лютого 2022 року № 64/2022, затверджений Законом України «Про затвердження Указу Президента України «Про введення воєнного стану в Україні» від 24 лютого 2022 року, з урахуванням потреби невідкладного та ефективного реагування на наявні загрози національним інтересам України, Київська міська рада </w:t>
      </w:r>
    </w:p>
    <w:p w14:paraId="70253E76" w14:textId="5FDA1D04" w:rsidR="002A1B73" w:rsidRDefault="002A1B73" w:rsidP="002A1B73">
      <w:pPr>
        <w:pBdr>
          <w:top w:val="nil"/>
          <w:left w:val="nil"/>
          <w:bottom w:val="nil"/>
          <w:right w:val="nil"/>
          <w:between w:val="nil"/>
        </w:pBdr>
        <w:spacing w:after="16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80EE0" w14:textId="77777777" w:rsidR="002A1B73" w:rsidRPr="001C70D0" w:rsidRDefault="002A1B73" w:rsidP="002A1B73">
      <w:pPr>
        <w:pBdr>
          <w:top w:val="nil"/>
          <w:left w:val="nil"/>
          <w:bottom w:val="nil"/>
          <w:right w:val="nil"/>
          <w:between w:val="nil"/>
        </w:pBdr>
        <w:spacing w:after="16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7BEF37C" w14:textId="77777777" w:rsidR="002A1B73" w:rsidRDefault="002A1B73" w:rsidP="002A1B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14:paraId="738FC11F" w14:textId="77777777" w:rsidR="002A1B73" w:rsidRDefault="002A1B73" w:rsidP="002A1B7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F0C3CF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CC0F9B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Встановити, що до прийняття та набрання чинності Законом України щодо врегулювання відносин за участю осіб, пов’язаних з державою-агресором, на території міста Києва діє мораторій (заборона)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1E4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ідведення, укладення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для: </w:t>
      </w:r>
    </w:p>
    <w:p w14:paraId="6B94DEA6" w14:textId="77777777" w:rsidR="002A1B73" w:rsidRDefault="002A1B73" w:rsidP="002A1B73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Фізичних осіб, які є громадянами та/або мають постійне місце проживання на території держави-агресора Російської Федерації та/або Республіки Білорусь. </w:t>
      </w:r>
    </w:p>
    <w:p w14:paraId="492E6949" w14:textId="77777777" w:rsidR="002A1B73" w:rsidRDefault="002A1B73" w:rsidP="002A1B73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Юридичних осіб: </w:t>
      </w:r>
    </w:p>
    <w:p w14:paraId="1489ED6A" w14:textId="77777777" w:rsidR="002A1B73" w:rsidRDefault="002A1B73" w:rsidP="002A1B73">
      <w:pPr>
        <w:pStyle w:val="a3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які створені відповідно до законодавства та/або мають постійне місцезнаходження на території держави-агресора Російської Федерації та/або Республіки Білорусь; та/або </w:t>
      </w:r>
    </w:p>
    <w:p w14:paraId="0A65B176" w14:textId="77777777" w:rsidR="002A1B73" w:rsidRDefault="002A1B73" w:rsidP="002A1B73">
      <w:pPr>
        <w:pStyle w:val="a3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засновниками (учасниками, акціонерами, власниками тощо) яких є, та/або якими прямо або опосередковано (через інших осіб) володіють, та/або істотну участь у яких мають, та/або управління корпоративними правами яких здійснюють держава-агресор Російська Федерація, та/або Республіка Білорусь, та/або фізичні особи, які є громадянами та/або мають постійне місце проживання на території цих держав, та/або юридичні особи, що створені відповідно до законодавства та/або мають постійне місцезнаходження на території цих держав; та/або </w:t>
      </w:r>
    </w:p>
    <w:p w14:paraId="7A55A6F3" w14:textId="77777777" w:rsidR="002A1B73" w:rsidRDefault="002A1B73" w:rsidP="002A1B73">
      <w:pPr>
        <w:pStyle w:val="a3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материнськими компаніями яких є юридичні особи, що створені відповідно до законодавства та/або мають постійне місцезнаходження на території держави-агресора Російської Федерації або Республіки Білорусь; та/або </w:t>
      </w:r>
    </w:p>
    <w:p w14:paraId="42F2A320" w14:textId="77777777" w:rsidR="002A1B73" w:rsidRDefault="002A1B73" w:rsidP="002A1B73">
      <w:pPr>
        <w:pStyle w:val="a3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кінцевими бенефіціарними власниками (контролерами) яких є фізичні особи, які є громадянами та/або мають постійне місце проживання на території держави-агресора Російської Федерації та/або Республіки Білорусь. </w:t>
      </w:r>
    </w:p>
    <w:p w14:paraId="7168DD5C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Виконавчому органу Київської міської ради (Київській міській державній адміністрації):</w:t>
      </w:r>
    </w:p>
    <w:p w14:paraId="5F011159" w14:textId="429C1870" w:rsidR="002A1B73" w:rsidRDefault="002A1B73" w:rsidP="002A1B73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Здійснювати попередню перевірку інформації про осіб, що висловлюють намір брати участь у відведенні, укладенні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Києва, на предмет поширення дій заборони, встановленої у пункті 1 цього рішення, та відмовляти особам, на яких поширюється заборона, встановлена у пункті 1 цього рішення, в участі у відведенні, укладенні договорів оренди земельних ділянок, оренди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приватизації нежитлових приміщень, цілісних майнових комплексів, які належать до комунальної власності територіальної громади міста Києва. </w:t>
      </w:r>
    </w:p>
    <w:p w14:paraId="47037825" w14:textId="77777777" w:rsidR="002A1B73" w:rsidRDefault="002A1B73" w:rsidP="002A1B73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Регулярно, але не рідше одного разу на місяць, здійснювати перевірки (моніторинг) інформації про осіб, що беруть участь у відведенні, укладенні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Києва, на предмет поширення дії заборони, встановленої у пункті 1 цього рішення, та негайно з моменту отримання відомостей про поширення дії заборони, встановленої у пункті 1 цього рішення – вживати організаційно-правові заходи для припинення участі таких осіб у відведенні, укладенні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Києва. </w:t>
      </w:r>
    </w:p>
    <w:p w14:paraId="6B250419" w14:textId="77777777" w:rsidR="002A1B73" w:rsidRDefault="002A1B73" w:rsidP="002A1B73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Вжити всі інші організаційно-правові заходи щодо виконання цього рішення. </w:t>
      </w:r>
    </w:p>
    <w:p w14:paraId="061B1910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 заборони цього рішення поширюється також на відведення, укладення договорів </w:t>
      </w:r>
      <w:r w:rsidRPr="00CC0F9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процедура укладення яких була розпочата до введення в Україні правового режиму воєнного стану відповідно до Указу Президента України «Про введення воєнного стану в Україні» від 24 лютого 2022 року № 64/2022, затвердженого Законом України «Про затвердження Указу Президента України «Про введення воєнного стану в Україні» від 24 лютого 2022 року. </w:t>
      </w:r>
    </w:p>
    <w:p w14:paraId="589D3687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рішення набирає чинності на наступний день після його прийняття та діє до набрання чинності Законом України щодо врегулювання відносин за участі осіб, пов’язаних із державою-агресором. </w:t>
      </w:r>
    </w:p>
    <w:p w14:paraId="2241D055" w14:textId="77777777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Офіційно оприлюднити це рішення у порядку, встановленому чинним законодавством. </w:t>
      </w:r>
    </w:p>
    <w:p w14:paraId="51E206F3" w14:textId="5CAA6082" w:rsidR="002A1B73" w:rsidRDefault="002A1B73" w:rsidP="002A1B73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8258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E61FECD" w14:textId="7078E7E5" w:rsidR="00D53272" w:rsidRPr="002A1B73" w:rsidRDefault="00D53272" w:rsidP="00D5327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652BD5" w14:textId="694F7D18" w:rsidR="00D53272" w:rsidRDefault="00D53272" w:rsidP="00D5327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F4E5F9" w14:textId="1C67018F" w:rsidR="00D53272" w:rsidRPr="00990210" w:rsidRDefault="00D53272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Віталій КЛИЧКО </w:t>
      </w:r>
    </w:p>
    <w:p w14:paraId="2104732C" w14:textId="42C313BC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D8E857" w14:textId="2C5631AA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200F14" w14:textId="79626B3B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B8C1E0" w14:textId="7DF2898F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943553" w14:textId="3CCE8D17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078053" w14:textId="49D2C93E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7F283D" w14:textId="47378866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787B89" w14:textId="77777777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032A9F" w14:textId="3F74AF25" w:rsidR="00634571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6345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ПОДАННЯ: </w:t>
      </w:r>
    </w:p>
    <w:p w14:paraId="7A6FE5FF" w14:textId="31D75363" w:rsidR="002A1B73" w:rsidRDefault="002A1B73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A6B83C" w14:textId="130F35BC" w:rsidR="002A1B73" w:rsidRPr="0069355E" w:rsidRDefault="0069355E" w:rsidP="00D53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Аліна МИХАЙЛОВА</w:t>
      </w:r>
    </w:p>
    <w:p w14:paraId="4C33FCE4" w14:textId="339F8447" w:rsidR="00634571" w:rsidRDefault="00634571" w:rsidP="00D53272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0273CD" w14:textId="77777777" w:rsidR="00634571" w:rsidRDefault="00634571" w:rsidP="00D0189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535A91" w14:textId="27AEFE08" w:rsidR="00D53272" w:rsidRDefault="00634571" w:rsidP="006345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ПОГОДЖЕНО: </w:t>
      </w:r>
    </w:p>
    <w:p w14:paraId="7F543346" w14:textId="5C3FF160" w:rsidR="00634571" w:rsidRDefault="00634571" w:rsidP="0063457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1BCDEA" w14:textId="158E649C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Київської міської ради </w:t>
      </w:r>
    </w:p>
    <w:p w14:paraId="12B671BE" w14:textId="51E705AB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69355E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4475C4" w14:textId="7966C48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8E778F" w14:textId="7C870125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55E">
        <w:rPr>
          <w:rFonts w:ascii="Times New Roman" w:hAnsi="Times New Roman" w:cs="Times New Roman"/>
          <w:sz w:val="28"/>
          <w:szCs w:val="28"/>
          <w:lang w:val="uk-UA"/>
        </w:rPr>
        <w:t xml:space="preserve">    Михайло ПРИСЯЖНЮК</w:t>
      </w:r>
    </w:p>
    <w:p w14:paraId="11614D39" w14:textId="5CDC47F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9C1BAC8" w14:textId="3A547B9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69355E">
        <w:rPr>
          <w:rFonts w:ascii="Times New Roman" w:hAnsi="Times New Roman" w:cs="Times New Roman"/>
          <w:sz w:val="28"/>
          <w:szCs w:val="28"/>
          <w:lang w:val="uk-UA"/>
        </w:rPr>
        <w:t>Сергій АРТЕМЕНКО</w:t>
      </w:r>
    </w:p>
    <w:p w14:paraId="4751C486" w14:textId="26ED1987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A037F0" w14:textId="408EEBDF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FBA340" w14:textId="6F96F5AE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управління правового </w:t>
      </w:r>
    </w:p>
    <w:p w14:paraId="0D5C07FB" w14:textId="32EEA979" w:rsidR="00634571" w:rsidRDefault="00634571" w:rsidP="00634571">
      <w:pPr>
        <w:tabs>
          <w:tab w:val="left" w:pos="58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Київської </w:t>
      </w:r>
    </w:p>
    <w:p w14:paraId="08E84C0B" w14:textId="065A622C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Валентина ПОЛОЖИШНИК</w:t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  <w:r w:rsidR="00990210"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0C9F6112" w14:textId="595BB1C6" w:rsidR="00634571" w:rsidRDefault="00634571" w:rsidP="0063457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CEB39A" w14:textId="0ACD08DE" w:rsidR="00990210" w:rsidRDefault="00990210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D9F21B" w14:textId="77777777" w:rsidR="00990210" w:rsidRDefault="00990210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AE5CAF" w14:textId="798ED234" w:rsidR="00FD6F51" w:rsidRDefault="00FD6F51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2FB51" w14:textId="141037F5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F6A46" w14:textId="14DCE915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68273" w14:textId="1B275BFB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007CBB" w14:textId="3DBDF5E3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8EEB25" w14:textId="74DFB092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5D1D7" w14:textId="5CD0083C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8CB8D" w14:textId="1F05AD54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D71F78" w14:textId="52DF2206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91B71" w14:textId="250EA108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4487B9" w14:textId="0917998E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A8BCA" w14:textId="3781AEDB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1DE5AC" w14:textId="6700B05A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A67BB" w14:textId="12EA2E27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95101" w14:textId="43A56E1A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DB403" w14:textId="3D6FA564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8C00C" w14:textId="595C7A94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76119" w14:textId="20B4D40D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37B3A3" w14:textId="77F367E7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E5F424" w14:textId="43D3E038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4DA7B3" w14:textId="68275252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DFAE4" w14:textId="2CDED445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8233EE" w14:textId="77777777" w:rsidR="00897FBE" w:rsidRDefault="00897FBE" w:rsidP="005F2D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D8DAA" w14:textId="6322909F" w:rsidR="00FD6F51" w:rsidRDefault="00FD6F51" w:rsidP="00FD6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ПОЯСНЮВАЛЬНА ЗАПИСКА </w:t>
      </w:r>
    </w:p>
    <w:p w14:paraId="40130DC9" w14:textId="170DDC7B" w:rsidR="00FD6F51" w:rsidRDefault="00FD6F51" w:rsidP="00FD6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 </w:t>
      </w:r>
    </w:p>
    <w:p w14:paraId="4190304A" w14:textId="77777777" w:rsidR="00A87994" w:rsidRDefault="00FD6F51" w:rsidP="00A8799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879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врегулювання відносин комунальної власності територіальної громади міста Києва за участі осіб,  </w:t>
      </w:r>
    </w:p>
    <w:p w14:paraId="09D01C2D" w14:textId="3F232005" w:rsidR="00FD6F51" w:rsidRDefault="00A87994" w:rsidP="00A87994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пов’язаних з державою-агресором</w:t>
      </w:r>
      <w:r w:rsidR="00FD6F5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63DC95DE" w14:textId="206E6481" w:rsidR="00FD6F51" w:rsidRDefault="00FD6F51" w:rsidP="00FD6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127032" w14:textId="4C670501" w:rsidR="00FD6F51" w:rsidRDefault="00FD6F51" w:rsidP="00FD6F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37E536" w14:textId="6AB03B1E" w:rsidR="00FD6F51" w:rsidRDefault="00FD6F51" w:rsidP="00FD6F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необхідності прийняття рішення </w:t>
      </w:r>
    </w:p>
    <w:p w14:paraId="6EAD3CF6" w14:textId="6F92607E" w:rsidR="00E23038" w:rsidRPr="002970B3" w:rsidRDefault="00A87994" w:rsidP="00BC11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Необхідніть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зумовлена повномасштабною збройною агресією Російської Федерації за допомогою підконтрольного їй режиму Республіки Білорусь проти України, тимчасовою окупацією частини території України. З метою захисту невіддільного суверенного права України на відновлення і збереження її територіальної цілісності в межах міжнародно-визнаних державних кордонів, створення внутрішніх умов для перемоги над Російською Федерацією та протидії внутрішньому впливу потенційної російської агентури</w:t>
      </w:r>
      <w:r w:rsidR="002970B3">
        <w:rPr>
          <w:rFonts w:ascii="Times New Roman" w:hAnsi="Times New Roman" w:cs="Times New Roman"/>
          <w:sz w:val="28"/>
          <w:szCs w:val="28"/>
          <w:lang w:val="uk-UA"/>
        </w:rPr>
        <w:t xml:space="preserve">, існує необхідність заборони </w:t>
      </w:r>
      <w:r w:rsidR="002970B3" w:rsidRPr="00CC0F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970B3" w:rsidRPr="001E4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ідведення, укладення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 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фізичних осіб, які є громадянами та/або мають постійне місце проживання на території Російської Федерації та/або Республіки Білорусь та юридичних осіб, пов’язаних з Російською Федерацією та Республікою Білорусь. </w:t>
      </w:r>
    </w:p>
    <w:p w14:paraId="175CE66C" w14:textId="62007DD2" w:rsidR="00BC1133" w:rsidRDefault="00BC1133" w:rsidP="00BC11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E7D128" w14:textId="65F58A6A" w:rsidR="00BC1133" w:rsidRDefault="00BC1133" w:rsidP="00BC11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та завдання прийняття рішення </w:t>
      </w:r>
    </w:p>
    <w:p w14:paraId="65443C83" w14:textId="77777777" w:rsidR="002970B3" w:rsidRDefault="00BC1133" w:rsidP="002970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прийняття цього рішення є </w:t>
      </w:r>
      <w:r w:rsidR="002970B3">
        <w:rPr>
          <w:rFonts w:ascii="Times New Roman" w:hAnsi="Times New Roman" w:cs="Times New Roman"/>
          <w:sz w:val="28"/>
          <w:szCs w:val="28"/>
          <w:lang w:val="uk-UA"/>
        </w:rPr>
        <w:t>встановлення мораторію (заборони) на</w:t>
      </w:r>
      <w:r w:rsidR="002970B3" w:rsidRP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970B3" w:rsidRPr="001E4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ідведення, укладення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 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970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фізичних осіб, які є громадянами та/або мають постійне місце проживання на території Російської Федерації та/або Республіки Білорусь та юридичних осіб, пов’язаних з Російською Федерацією та Республікою Білорусь.</w:t>
      </w:r>
    </w:p>
    <w:p w14:paraId="0D9F4879" w14:textId="55D07D5A" w:rsidR="00BC1133" w:rsidRPr="002970B3" w:rsidRDefault="00BC1133" w:rsidP="002970B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5D260D" w14:textId="0651D99B" w:rsidR="00BC1133" w:rsidRDefault="00BC1133" w:rsidP="00BC11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Загальна характеристика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</w:t>
      </w:r>
    </w:p>
    <w:p w14:paraId="0D15CF87" w14:textId="245606F2" w:rsidR="00BC1133" w:rsidRDefault="002970B3" w:rsidP="00BC11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шести пунктів</w:t>
      </w:r>
      <w:r w:rsidR="00A805EC">
        <w:rPr>
          <w:rFonts w:ascii="Times New Roman" w:hAnsi="Times New Roman" w:cs="Times New Roman"/>
          <w:sz w:val="28"/>
          <w:szCs w:val="28"/>
          <w:lang w:val="uk-UA"/>
        </w:rPr>
        <w:t xml:space="preserve">, якими передбачено: </w:t>
      </w:r>
      <w:r w:rsidR="00BC1133" w:rsidRPr="00BC1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3ADA5A" w14:textId="02F31A96" w:rsidR="00B44D69" w:rsidRP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мораторію (заборони) на</w:t>
      </w:r>
      <w:r w:rsidRPr="00297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4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ідведення, укладення договорів оренди земельних ділянок, оренди та приватизації нежитлових приміщень, цілісних майнових комплексів, які належать до комунальної власності територіальної громади міста Києва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фізичних осіб, які є громадянами та/або мають постійне місце проживання на території Російської Федерації та/або Республіки Білорусь та юридичних осіб, пов’язаних з Російською Федерацією та Республікою Білорусь; </w:t>
      </w:r>
    </w:p>
    <w:p w14:paraId="1F11FD37" w14:textId="102BE7F2" w:rsidR="00F415B9" w:rsidRDefault="00F415B9" w:rsidP="00F415B9">
      <w:pPr>
        <w:pStyle w:val="a3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F6DF4E5" w14:textId="77777777" w:rsidR="00F415B9" w:rsidRPr="00F415B9" w:rsidRDefault="00F415B9" w:rsidP="00F415B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DB223B" w14:textId="02182AF2" w:rsidR="00F415B9" w:rsidRP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Доручення виконавчому органу Київської міської ради (Київській міській державній адміністрації) здійснити дії, спрямовані на виконання та практичну реалізацію зазначеного мораторію; </w:t>
      </w:r>
    </w:p>
    <w:p w14:paraId="743441A1" w14:textId="49AADAC1" w:rsidR="00F415B9" w:rsidRP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дію мораторію (заборони) в часі; </w:t>
      </w:r>
    </w:p>
    <w:p w14:paraId="3A96EB84" w14:textId="577A1965" w:rsid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22D258A" w14:textId="201DE303" w:rsid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оприлюднення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359AB8C4" w14:textId="780E4D1D" w:rsidR="00F415B9" w:rsidRDefault="00F415B9" w:rsidP="00F415B9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7B13BC8" w14:textId="77777777" w:rsidR="00F415B9" w:rsidRPr="00F415B9" w:rsidRDefault="00F415B9" w:rsidP="00F415B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172A0D" w14:textId="1D8335A2" w:rsidR="00B44D69" w:rsidRDefault="00B44D69" w:rsidP="00B44D6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 нормативно-правової бази у даній сфері правового регулювання </w:t>
      </w:r>
    </w:p>
    <w:p w14:paraId="4DAD3987" w14:textId="7534630E" w:rsidR="00B44D69" w:rsidRPr="00F415B9" w:rsidRDefault="00B44D69" w:rsidP="00B44D6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підготовленому відповідно до Конституції України, Законів України «Про місцеве самоврядування в Україні», «Про столицю України – місто-герой Київ»</w:t>
      </w:r>
      <w:r w:rsidR="00F415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5B9">
        <w:rPr>
          <w:rFonts w:ascii="Times New Roman" w:eastAsia="Times New Roman" w:hAnsi="Times New Roman" w:cs="Times New Roman"/>
          <w:color w:val="000000"/>
          <w:sz w:val="28"/>
          <w:szCs w:val="28"/>
        </w:rPr>
        <w:t>«Про зовнішньоекономічну діяльність», Статут</w:t>
      </w:r>
      <w:r w:rsidR="00F415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4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територіальної громади міста Києва та Регламент</w:t>
      </w:r>
      <w:r w:rsidR="00F415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F4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Київської міської ради, рішення Київської міської ради</w:t>
      </w:r>
      <w:r w:rsidR="00F4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15B9" w:rsidRPr="005C1EE9">
        <w:rPr>
          <w:rFonts w:ascii="Times New Roman" w:hAnsi="Times New Roman" w:cs="Times New Roman"/>
          <w:sz w:val="28"/>
          <w:szCs w:val="28"/>
        </w:rPr>
        <w:t xml:space="preserve">від 16 березня 2017 року № 9/2231 </w:t>
      </w:r>
      <w:r w:rsidR="00F415B9">
        <w:rPr>
          <w:rFonts w:ascii="Times New Roman" w:hAnsi="Times New Roman" w:cs="Times New Roman"/>
          <w:sz w:val="28"/>
          <w:szCs w:val="28"/>
        </w:rPr>
        <w:t>«</w:t>
      </w:r>
      <w:r w:rsidR="00F415B9" w:rsidRPr="005C1EE9">
        <w:rPr>
          <w:rFonts w:ascii="Times New Roman" w:hAnsi="Times New Roman" w:cs="Times New Roman"/>
          <w:sz w:val="28"/>
          <w:szCs w:val="28"/>
        </w:rPr>
        <w:t>Про суб'єктів господарювання Російської Федерації та таких, що знаходяться під прямим чи опосередкованим контролем фізичних чи юридичних осіб Російської Федерації, що прямо чи опосередковано здійснюють господарську діяльність в місті Києві</w:t>
      </w:r>
      <w:r w:rsidR="00F415B9">
        <w:rPr>
          <w:rFonts w:ascii="Times New Roman" w:hAnsi="Times New Roman" w:cs="Times New Roman"/>
          <w:sz w:val="28"/>
          <w:szCs w:val="28"/>
        </w:rPr>
        <w:t>»</w:t>
      </w:r>
      <w:r w:rsidR="00F415B9" w:rsidRPr="005C1EE9">
        <w:rPr>
          <w:rFonts w:ascii="Times New Roman" w:hAnsi="Times New Roman" w:cs="Times New Roman"/>
          <w:sz w:val="28"/>
          <w:szCs w:val="28"/>
        </w:rPr>
        <w:t xml:space="preserve">, рішення Київської міської ради від 15 травня 2019 року № 537/7193 </w:t>
      </w:r>
      <w:r w:rsidR="00F415B9">
        <w:rPr>
          <w:rFonts w:ascii="Times New Roman" w:hAnsi="Times New Roman" w:cs="Times New Roman"/>
          <w:sz w:val="28"/>
          <w:szCs w:val="28"/>
        </w:rPr>
        <w:t>«</w:t>
      </w:r>
      <w:r w:rsidR="00F415B9" w:rsidRPr="005C1EE9">
        <w:rPr>
          <w:rFonts w:ascii="Times New Roman" w:hAnsi="Times New Roman" w:cs="Times New Roman"/>
          <w:sz w:val="28"/>
          <w:szCs w:val="28"/>
        </w:rPr>
        <w:t>Про встановлення заборони передачі майна та земель комунальної власності територіальної громади міста Києва у власність або користування юридичним особам, у статутних капіталах яких є частка держави-агресора</w:t>
      </w:r>
      <w:r w:rsidR="00F415B9">
        <w:rPr>
          <w:rFonts w:ascii="Times New Roman" w:hAnsi="Times New Roman" w:cs="Times New Roman"/>
          <w:sz w:val="28"/>
          <w:szCs w:val="28"/>
        </w:rPr>
        <w:t>»</w:t>
      </w:r>
      <w:r w:rsidR="00F41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0F4CC4" w14:textId="5100E959" w:rsidR="00B44D69" w:rsidRDefault="00B44D69" w:rsidP="00B44D69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04D59F" w14:textId="1B028709" w:rsidR="00B44D69" w:rsidRDefault="00B44D69" w:rsidP="00B44D69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Фінансово-економічне обґрунтування </w:t>
      </w:r>
    </w:p>
    <w:p w14:paraId="4B032ADA" w14:textId="1FB83BBC" w:rsidR="00B44D69" w:rsidRDefault="00B44D69" w:rsidP="00B44D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рішення не передбачає використання коштів місцевого бюджету. </w:t>
      </w:r>
    </w:p>
    <w:p w14:paraId="79D8591C" w14:textId="7BDF81C0" w:rsidR="00B44D69" w:rsidRDefault="00B44D69" w:rsidP="00B44D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81A93F" w14:textId="5FE8373C" w:rsidR="00B44D69" w:rsidRDefault="00B44D69" w:rsidP="00B44D69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Доповідач на пленарному засіданні </w:t>
      </w:r>
    </w:p>
    <w:p w14:paraId="6A9BEB0F" w14:textId="5B8AC7F8" w:rsidR="00B44D69" w:rsidRDefault="00B44D69" w:rsidP="00B44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Київської міської ради – Аліна МИХАЙЛОВА. </w:t>
      </w:r>
    </w:p>
    <w:p w14:paraId="76264B55" w14:textId="3624FEB4" w:rsidR="00B44D69" w:rsidRPr="009660F9" w:rsidRDefault="00B44D69" w:rsidP="00B44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15AE3" w14:textId="29A8A12A" w:rsidR="00B44D69" w:rsidRDefault="00B44D69" w:rsidP="00B44D6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7A051" w14:textId="21BCD8FC" w:rsidR="00B44D69" w:rsidRPr="009660F9" w:rsidRDefault="00B44D69" w:rsidP="00B44D6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="009660F9" w:rsidRPr="009660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0F9"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60F9"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60F9"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60F9" w:rsidRPr="009660F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660F9">
        <w:rPr>
          <w:rFonts w:ascii="Times New Roman" w:hAnsi="Times New Roman" w:cs="Times New Roman"/>
          <w:sz w:val="28"/>
          <w:szCs w:val="28"/>
          <w:lang w:val="uk-UA"/>
        </w:rPr>
        <w:t>Аліна МИХАЙЛОВА</w:t>
      </w:r>
    </w:p>
    <w:p w14:paraId="58A01981" w14:textId="72CAD663" w:rsidR="00BC1133" w:rsidRDefault="00BC1133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F9B35" w14:textId="22423B37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741F1" w14:textId="69C9B8BA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0B346" w14:textId="4DAA805C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B340C" w14:textId="45D8760B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355AFE" w14:textId="45F07154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8800E" w14:textId="76955912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870C63" w14:textId="09F30DC1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636C25" w14:textId="1D38A8C7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9DAE9" w14:textId="660FD55D" w:rsidR="00F65812" w:rsidRDefault="00F65812" w:rsidP="00F415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EB128" w14:textId="783F1615" w:rsidR="00F65812" w:rsidRDefault="00F65812" w:rsidP="00FD6F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4A5EB" w14:textId="77777777" w:rsidR="00F65812" w:rsidRDefault="00F65812" w:rsidP="00F65812">
      <w:pPr>
        <w:tabs>
          <w:tab w:val="center" w:pos="4536"/>
        </w:tabs>
        <w:ind w:left="-1417" w:right="-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B104E28" wp14:editId="4B93418D">
            <wp:simplePos x="0" y="0"/>
            <wp:positionH relativeFrom="column">
              <wp:posOffset>-424814</wp:posOffset>
            </wp:positionH>
            <wp:positionV relativeFrom="paragraph">
              <wp:posOffset>-410</wp:posOffset>
            </wp:positionV>
            <wp:extent cx="6610350" cy="2008505"/>
            <wp:effectExtent l="0" t="0" r="0" b="0"/>
            <wp:wrapSquare wrapText="bothSides" distT="114300" distB="114300" distL="114300" distR="114300"/>
            <wp:docPr id="7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10"/>
                    <a:srcRect t="5722" b="184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008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1E04D6" w14:textId="77777777" w:rsidR="00F65812" w:rsidRPr="00EF06A2" w:rsidRDefault="00F65812" w:rsidP="00F6581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  <w:u w:val="single"/>
          <w:lang w:val="uk-UA"/>
        </w:rPr>
      </w:pPr>
      <w:r w:rsidRPr="00CE7B6E">
        <w:rPr>
          <w:rFonts w:ascii="Times New Roman" w:hAnsi="Times New Roman" w:cs="Times New Roman"/>
          <w:highlight w:val="white"/>
        </w:rPr>
        <w:t>“</w:t>
      </w:r>
      <w:r>
        <w:rPr>
          <w:rFonts w:ascii="Times New Roman" w:hAnsi="Times New Roman" w:cs="Times New Roman"/>
          <w:highlight w:val="white"/>
          <w:lang w:val="uk-UA"/>
        </w:rPr>
        <w:t>__</w:t>
      </w:r>
      <w:r w:rsidRPr="00CE7B6E">
        <w:rPr>
          <w:rFonts w:ascii="Times New Roman" w:hAnsi="Times New Roman" w:cs="Times New Roman"/>
          <w:highlight w:val="white"/>
        </w:rPr>
        <w:t xml:space="preserve">” </w:t>
      </w:r>
      <w:r>
        <w:rPr>
          <w:rFonts w:ascii="Times New Roman" w:hAnsi="Times New Roman" w:cs="Times New Roman"/>
          <w:highlight w:val="white"/>
          <w:lang w:val="uk-UA"/>
        </w:rPr>
        <w:t>__________</w:t>
      </w:r>
      <w:r w:rsidRPr="00CE7B6E">
        <w:rPr>
          <w:rFonts w:ascii="Times New Roman" w:hAnsi="Times New Roman" w:cs="Times New Roman"/>
          <w:highlight w:val="white"/>
        </w:rPr>
        <w:t xml:space="preserve">2022 р. </w:t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</w:rPr>
        <w:tab/>
      </w:r>
      <w:r w:rsidRPr="00CE7B6E">
        <w:rPr>
          <w:rFonts w:ascii="Times New Roman" w:hAnsi="Times New Roman" w:cs="Times New Roman"/>
          <w:highlight w:val="white"/>
          <w:lang w:val="uk-UA"/>
        </w:rPr>
        <w:t xml:space="preserve"> </w:t>
      </w:r>
      <w:r w:rsidRPr="00CE7B6E">
        <w:rPr>
          <w:rFonts w:ascii="Times New Roman" w:hAnsi="Times New Roman" w:cs="Times New Roman"/>
          <w:highlight w:val="white"/>
        </w:rPr>
        <w:t xml:space="preserve">№ </w:t>
      </w:r>
      <w:r>
        <w:rPr>
          <w:rFonts w:ascii="Times New Roman" w:hAnsi="Times New Roman" w:cs="Times New Roman"/>
          <w:highlight w:val="white"/>
          <w:lang w:val="uk-UA"/>
        </w:rPr>
        <w:t>___________________</w:t>
      </w:r>
    </w:p>
    <w:p w14:paraId="0BAC3EC4" w14:textId="77777777" w:rsidR="00F65812" w:rsidRDefault="00F65812" w:rsidP="00F65812">
      <w:pPr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 – секретарю Київської міської ради</w:t>
      </w:r>
    </w:p>
    <w:p w14:paraId="69F0A171" w14:textId="77777777" w:rsidR="00F65812" w:rsidRDefault="00F65812" w:rsidP="00F65812">
      <w:pPr>
        <w:ind w:left="496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БОНДАРЕНКУ</w:t>
      </w:r>
    </w:p>
    <w:p w14:paraId="4F6E6DC0" w14:textId="77777777" w:rsidR="00F65812" w:rsidRDefault="00F65812" w:rsidP="00F65812">
      <w:pPr>
        <w:ind w:left="4111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A7548B3" w14:textId="77777777" w:rsidR="00F65812" w:rsidRDefault="00F65812" w:rsidP="00F658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Шановний Володимире Володимировичу! </w:t>
      </w:r>
    </w:p>
    <w:p w14:paraId="6072CEB8" w14:textId="77777777" w:rsidR="00F65812" w:rsidRPr="00604878" w:rsidRDefault="00F65812" w:rsidP="00F65812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F7164ED" w14:textId="67C76226" w:rsidR="00F65812" w:rsidRPr="009660F9" w:rsidRDefault="00F65812" w:rsidP="009660F9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8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статей 26, 29 Регламенту Київської міської ради, затвердженого рішенням Київської міської ради від 04 листопада 2021 року № 3135/3176 прошу Вас надати доручення відповідним структурним підрозділам секретаріату Київської міської ради та управлінню правового забезпечення діяльності Київської міської ради розглянути </w:t>
      </w:r>
      <w:proofErr w:type="spellStart"/>
      <w:r w:rsidRPr="006048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6048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Київської міської ради «</w:t>
      </w:r>
      <w:r w:rsidR="009660F9" w:rsidRPr="009660F9">
        <w:rPr>
          <w:rFonts w:ascii="Times New Roman" w:hAnsi="Times New Roman" w:cs="Times New Roman"/>
          <w:sz w:val="28"/>
          <w:szCs w:val="28"/>
          <w:lang w:val="uk-UA"/>
        </w:rPr>
        <w:t>Про врегулювання відносин комунальної власності територіальної громади міста Києва за участі осіб, пов’язаних з державою-агресором</w:t>
      </w:r>
      <w:r w:rsidRPr="006048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рішення). </w:t>
      </w:r>
    </w:p>
    <w:p w14:paraId="2C39AA25" w14:textId="77777777" w:rsidR="00F65812" w:rsidRPr="00604878" w:rsidRDefault="00F65812" w:rsidP="00F6581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представлення та супроводження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всіх стадіях розгляду є депутат Київської міської ради Аліна Михайлова. </w:t>
      </w:r>
    </w:p>
    <w:p w14:paraId="3B41234F" w14:textId="77777777" w:rsidR="00F65812" w:rsidRDefault="00F65812" w:rsidP="00F6581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CF46DAF" w14:textId="77777777" w:rsidR="00F65812" w:rsidRDefault="00F65812" w:rsidP="00F65812">
      <w:pPr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: </w:t>
      </w:r>
    </w:p>
    <w:p w14:paraId="5820A033" w14:textId="6AD24320" w:rsidR="00F65812" w:rsidRDefault="00F65812" w:rsidP="00F6581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 </w:t>
      </w:r>
      <w:r w:rsidR="00922D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1 прим.; </w:t>
      </w:r>
    </w:p>
    <w:p w14:paraId="2506C1ED" w14:textId="77777777" w:rsidR="00F65812" w:rsidRDefault="00F65812" w:rsidP="00F6581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Пояснювальна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записка на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1 прим.; </w:t>
      </w:r>
    </w:p>
    <w:p w14:paraId="0F4A58C6" w14:textId="77777777" w:rsidR="00F65812" w:rsidRDefault="00F65812" w:rsidP="00F6581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 </w:t>
      </w:r>
    </w:p>
    <w:p w14:paraId="323C55D5" w14:textId="77777777" w:rsidR="00F65812" w:rsidRDefault="00F65812" w:rsidP="00F658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8E45D4" w14:textId="77777777" w:rsidR="00F65812" w:rsidRDefault="00F65812" w:rsidP="00F658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B199C60" w14:textId="77777777" w:rsidR="00F65812" w:rsidRDefault="00F65812" w:rsidP="00F658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повагою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14:paraId="273F1991" w14:textId="6B46A313" w:rsidR="00F65812" w:rsidRPr="00F65812" w:rsidRDefault="00F65812" w:rsidP="00F6581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МИХАЙЛОВА</w:t>
      </w:r>
    </w:p>
    <w:sectPr w:rsidR="00F65812" w:rsidRPr="00F65812" w:rsidSect="00B44D69">
      <w:pgSz w:w="11906" w:h="16838"/>
      <w:pgMar w:top="29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9F8"/>
    <w:multiLevelType w:val="multilevel"/>
    <w:tmpl w:val="766EB7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B92741"/>
    <w:multiLevelType w:val="hybridMultilevel"/>
    <w:tmpl w:val="CCECF608"/>
    <w:lvl w:ilvl="0" w:tplc="4C9A2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A40689"/>
    <w:multiLevelType w:val="hybridMultilevel"/>
    <w:tmpl w:val="9128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595"/>
    <w:multiLevelType w:val="hybridMultilevel"/>
    <w:tmpl w:val="753882DC"/>
    <w:lvl w:ilvl="0" w:tplc="7D38572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5C32D9"/>
    <w:multiLevelType w:val="hybridMultilevel"/>
    <w:tmpl w:val="58680F9A"/>
    <w:lvl w:ilvl="0" w:tplc="8338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B"/>
    <w:rsid w:val="00025C87"/>
    <w:rsid w:val="00097F29"/>
    <w:rsid w:val="000C73E9"/>
    <w:rsid w:val="002970B3"/>
    <w:rsid w:val="002A0919"/>
    <w:rsid w:val="002A1B73"/>
    <w:rsid w:val="00590B06"/>
    <w:rsid w:val="005C5D7A"/>
    <w:rsid w:val="005F298C"/>
    <w:rsid w:val="005F2D82"/>
    <w:rsid w:val="005F62C6"/>
    <w:rsid w:val="00634571"/>
    <w:rsid w:val="0069355E"/>
    <w:rsid w:val="008258C2"/>
    <w:rsid w:val="00897FBE"/>
    <w:rsid w:val="00922D50"/>
    <w:rsid w:val="009660F9"/>
    <w:rsid w:val="00987362"/>
    <w:rsid w:val="00990210"/>
    <w:rsid w:val="009E60C3"/>
    <w:rsid w:val="00A805EC"/>
    <w:rsid w:val="00A86A24"/>
    <w:rsid w:val="00A87994"/>
    <w:rsid w:val="00AE6835"/>
    <w:rsid w:val="00B44D69"/>
    <w:rsid w:val="00BC1133"/>
    <w:rsid w:val="00BC5403"/>
    <w:rsid w:val="00D0189B"/>
    <w:rsid w:val="00D53272"/>
    <w:rsid w:val="00DB6BCB"/>
    <w:rsid w:val="00E23038"/>
    <w:rsid w:val="00F34A8E"/>
    <w:rsid w:val="00F415B9"/>
    <w:rsid w:val="00F65812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37A"/>
  <w15:chartTrackingRefBased/>
  <w15:docId w15:val="{1E47139F-06FA-4341-9984-FE8E9AE6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72"/>
    <w:pPr>
      <w:ind w:left="720"/>
      <w:contextualSpacing/>
    </w:pPr>
  </w:style>
  <w:style w:type="table" w:styleId="a4">
    <w:name w:val="Table Grid"/>
    <w:basedOn w:val="a1"/>
    <w:uiPriority w:val="39"/>
    <w:rsid w:val="0063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0:36:46.16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648 194 24575,'67'0'0,"15"0"0,-20 0 0,24 0 0,-6 0 0,9 0 0,11 0-915,-18 0 915,-28 0 0,0 0 0,28 0 0,-28 0 0,2 0 0,-4 0 0,-2 0 0,28 0 91,6 0-91,-22 0 0,8 0 0,7 0 0,-25 0 0,-3 0 0,-27 0 686,2 0-686,-15 0 138,-36 0-138,6 0 0,-50-6 0,-1 5 0,23-6 0,-7 0 0,-11 1 0,-8 0 0,1-1-492,-19-3 0,-3-1 164,1 4 0,-7 2 0,6-2 0,24 1 0,5-1 0,-2 2 0,-14 4 0,-2 1 0,6-1-164,0-3 0,3-1 0,-14 5 0,4 0 0,32 0 0,3 0 202,-7 0 0,2 0 290,-26 0 0,28 0 0,21 0 983,19 0 0,0 0 0,49 14 0,22 4-492,-9 0 1,6 2-374,12 2 1,5 1-119,13 9 0,5 1-328,-18-11 0,4-1 0,1 1 0,7 3 0,1 1 0,3-2 0,8 0 0,2-1 0,0 0 0,-5 0 0,-1 0 0,1-1 0,6-1 0,1-2 0,-7 0-164,4 3 0,-2-2 164,-20-8 0,3-2 0,-9-2 31,-11 1 0,-2-2 297,22 2 0,-3 0 983,11 6-719,-8-7 719,-41-2 0,-3-6 0,-19 3 0,0-2 0,-6 3 0,-3 3 0,-30-6 0,-42 0-296,-27-17-1179,9-1 0,-7-4 0,4-2 0,-5-4 164,7 2 0,-7-1 0,4-1 0,17 6 0,3 0 0,-3-1 0,-21-7 0,-3-2 0,8 2-164,3 4 0,3 0 164,8 2 0,-4-2 0,5 2-164,-8-1 0,3 1 0,-3-1 0,4 1 0,16 2 0,4 1 1475,-22-3 0,28 5 0,22 11 0,10-2 0,20 8 0,42-2 0,5 3-492,1 0 1,4 0-270,-1 0 0,1 0-222,15 0 0,4 0-492,11-1 0,4 2 164,-22 1 0,3 2 0,0-1 280,4-2 1,0-1 0,3 1 47,7 2 0,2 1 0,0-1 0,1-2 0,1-2 0,-2 1 0,-2 0 0,-2 0 0,-3 0 0,16 0 0,-3 0-492,-1 0 0,-5 0 333,-29 0 0,-1 0-72,10 0 0,-2 0 231,29 0 0,-22 0 0,-19-5 983,-16-1 0,-9 0 0,-10 2 0,-2 4 0,-50-12-492,16 3-491,-46-4 0,-28 0-492,33 7 0,-5 1 0,-8-1 0,-9 1 368,8 2 0,-9 1 1,-2 0-1,6 0 124,-1-1 0,5-1 0,-3 1-328,-18 2 0,-3 1 0,6-2 0,21-1 0,5-1 0,6 1-78,1 3 1,4 0 254,-3 0 0,2 0 151,-41 0 0,54 0 0,5 0 983,26 0 0,16 0 0,20 6 0,9 0 0,46 8-354,-9 6-629,-14-5 0,4 2 0,0-1 0,0 2-214,5 2 1,4 0 213,15 4 0,4-2-492,1-2 0,1 0 0,6 5 0,0-2 214,-14-8 1,-1-1-215,-2 0 0,-2-2 372,-10-3 1,-1-1 119,2 0 0,-2 1 0,-10-1 0,-2-1 0,37 2 0,-36-3 347,-9-6-347,-18 0 983,-6 0 0,-4 0 0,-2 0-106,-60 0-877,23-5 0,-46 4 0,30-10 0,5 5 0,-6-6 0,-7-6 0,-5-2 0,-24-2 0,7-3 0,-17 8 0,17-8 0,-7 9 0,17-3 0,16 3 0,11 8 0,18-4 0,6 7 0,38 0 0,30 1 0,36 4-492,-39 0 0,1 0 333,5 0 0,1 0 159,0 0 0,1 0 0,12 0 0,1 0 0,-5 0 0,-2 0 0,-9 0 0,-2 0 0,9 0 0,-4 0-304,21 0 304,-34 0 0,0 0 0,26 0 0,-25 0 0,-9-4 0,-18 3 0,-10-4 983,-2 5-685,-5 0 27,1 0-325,2 0 0,3 0 0,4-4 0,14 3 0,-3-3 0,11 4 0,-13 0 0,-2-5 0,1 4 0,-5-3 0,7 1 0,-20 2 0,-52-3 0,13 4 0,-36 0 0,-7 0 0,-2 0-377,15 2 1,-2 2 376,-23 11 0,6 1 0,0 5 0,3-1-30,24-6 30,5 4 0,21-8 0,6-4 0,12 2 0,5-3 751,4 6-751,0-2 32,0 3-32,7-4 0,4 1 0,2-4 0,5 3 0,-3-6 0,4 6 0,-4-7 0,3 8 0,-9-4 0,5 4 0,-6-5 0,5 4 0,-3-3 0,3 4 0,-4 0 0,-1-5 0,0 4 0,1-4 0,-1 1 0,1 3 0,-1-8 0,1 4 0,3-4 0,-3 0 0,3 0 0,-3 0 0,-1 0 0,9-8 0,-6-3 0,11-3 0,-11-5 0,7 9 0,-3-5 0,0 1 0,4 3 0,-9-2 0,3 4 0,-4 0 0,-1 5 0,0-4 0,1 3 0,-1-3 0,1-1 0,0-4 0,10-3 0,-2-4 0,14-2 0,-10 7 0,11-6 0,-11 10 0,-1-4 0,-2 6 0,-8 0 0,3 4 0,-47 1 0,14 9 0,-37 1 0,23 5 0,-6-5 0,-29 3 0,-11 2 0,18-1 0,-4 0-328,-4-1 0,-7 0 0,2 1 0,8 3 0,1 0 0,1-1 253,-29-1 1,-2 0 74,21 1 0,-3 3 0,1-2 0,4-5 0,0-1 0,0 1 0,-6 2 0,-1 1 0,4-2 0,-10 1 0,3-1 0,-7 0 0,4 1 0,26-2 0,2 0-344,0 0 0,-1 0 344,2 0 0,3 0 0,-26 0 0,11 4 0,12-10 0,15 3 983,1-5 0,1 0-144,5 0-839,-30 0 0,10 6 0,-32-5 0,8 5 0,29-2 0,0 0 0,-24-3 0,-21 13 0,23-6 0,1 6 0,4-6 0,25 2 0,7-9 0,10 9 0,10-9 0,2 3 0,8-1 0,-3 2 0,4 6 0,-5-1 0,1 1 0,0-2 0,-6 0 0,4 4 0,-8-2 0,7 2 0,-7 1 0,8-4 0,1 3 0,1-4 0,7-1 0,-3 3 0,13-1 0,8-2 0,17 1 0,8-2 0,7 0 0,18 5 0,4-4 0,29 0-492,-44-1 0,2 1 211,5-3 0,1-1 281,7 1 0,-3 0-291,-13-1 1,-2 0 290,7-4 0,-1 0 0,34 0 0,-36 0 0,-1 0 0,37 0 0,4 0 0,-35 0 0,-2 0 0,-26 0 0,-9 0 0,-6 0 983,-4 0-468,-2 0 114,-5-4-629,1 3 0,-1-6 0,-26-11 0,0-6 0,-32-15 0,27 18 0,-1 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10:36:41.6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 0 24575,'0'71'0,"0"-33"0,0 25 0,0-32 0,0 5 0,0 9 0,0-22 0,0 10 0,-4-14 0,19 8 0,7-9 0,8 4 0,34-15 0,-24 3 0,27-9 0,-10 4 0,-13-5 0,12 0 0,-27 0 0,9 0 0,-17 0 0,0 0 0,-8 0 0,-4 0 0,-5-10 0,0-2 0,-13-5 0,-8-3 0,-10 9 0,-13-6 0,20 11 0,-2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Notevskyi</dc:creator>
  <cp:keywords/>
  <dc:description/>
  <cp:lastModifiedBy>Oleksandr Notevskyi</cp:lastModifiedBy>
  <cp:revision>4</cp:revision>
  <dcterms:created xsi:type="dcterms:W3CDTF">2022-06-22T10:09:00Z</dcterms:created>
  <dcterms:modified xsi:type="dcterms:W3CDTF">2022-06-29T11:13:00Z</dcterms:modified>
</cp:coreProperties>
</file>