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5529CA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pt;height:82.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51099423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2BF9B5FE" w14:textId="4A34E099" w:rsidR="00570804" w:rsidRDefault="00A97C08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69993A13" w14:textId="77777777" w:rsidR="00570804" w:rsidRPr="00570804" w:rsidRDefault="00570804" w:rsidP="0057080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7F0EDBD7" w14:textId="4A68A7C9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D4668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:rsidRPr="00AD0A43" w14:paraId="3F8170D6" w14:textId="77777777" w:rsidTr="00A97C08">
        <w:trPr>
          <w:trHeight w:val="1501"/>
        </w:trPr>
        <w:tc>
          <w:tcPr>
            <w:tcW w:w="4805" w:type="dxa"/>
          </w:tcPr>
          <w:p w14:paraId="25A845B7" w14:textId="065E64EC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оголошення 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ботанічних </w:t>
            </w:r>
            <w:r w:rsidR="00DD331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ок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природи місцевого значення «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Аскольдів ясен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  <w:r w:rsidR="00F729F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«Багатовіковий ясен-патріарх» і «Багатовіковий дуб Довженка»</w:t>
            </w:r>
          </w:p>
          <w:p w14:paraId="03787732" w14:textId="4F951736" w:rsidR="00570804" w:rsidRDefault="00570804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3D29A01" w14:textId="4CC43342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27</w:t>
      </w:r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стат</w:t>
      </w:r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ей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51-53 Закону України «Про природно-заповідний фонд України», розглянувши клопотання </w:t>
      </w:r>
      <w:bookmarkEnd w:id="0"/>
      <w:proofErr w:type="spellStart"/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>арбориста</w:t>
      </w:r>
      <w:proofErr w:type="spellEnd"/>
      <w:r w:rsidR="00E967C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Леоненка В.В.,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метою збереження цінних </w:t>
      </w:r>
      <w:r w:rsidR="006129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екземплярів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рослинного</w:t>
      </w:r>
      <w:r w:rsidR="0061295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0AE323BF" w14:textId="77777777" w:rsidR="00570804" w:rsidRPr="00862DA5" w:rsidRDefault="00570804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6B1785" w14:textId="46DF01C6" w:rsidR="00A97C08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7453D9EA" w14:textId="77777777" w:rsidR="00570804" w:rsidRPr="002F217B" w:rsidRDefault="00570804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b/>
          <w:sz w:val="28"/>
          <w:szCs w:val="28"/>
          <w:lang w:val="uk-UA"/>
        </w:rPr>
      </w:pPr>
    </w:p>
    <w:p w14:paraId="5B44CAE9" w14:textId="4EC79316" w:rsidR="00AD0A43" w:rsidRDefault="00124AC9" w:rsidP="008C77C6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природн</w:t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AD0A43">
        <w:rPr>
          <w:rFonts w:ascii="Times New Roman" w:hAnsi="Times New Roman" w:cs="Times New Roman"/>
          <w:sz w:val="28"/>
          <w:szCs w:val="28"/>
          <w:lang w:val="uk-UA"/>
        </w:rPr>
        <w:t xml:space="preserve"> ботанічн</w:t>
      </w:r>
      <w:r w:rsidR="00066671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0A43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AD0A43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>ятк</w:t>
      </w:r>
      <w:r w:rsidR="00066671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 xml:space="preserve"> природи місцевого значення:</w:t>
      </w:r>
    </w:p>
    <w:p w14:paraId="3C4B827C" w14:textId="6B64D72A" w:rsidR="00AD0A43" w:rsidRDefault="00AD0A43" w:rsidP="00AD0A43">
      <w:pPr>
        <w:pStyle w:val="a3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«Аскольдів ясен» та «Багатовіковий ясен-патріарх» у Печерському районі;</w:t>
      </w:r>
    </w:p>
    <w:p w14:paraId="136C9829" w14:textId="69BF4FCA" w:rsidR="00AD0A43" w:rsidRPr="00AD0A43" w:rsidRDefault="00AD0A43" w:rsidP="00AD0A43">
      <w:pPr>
        <w:pStyle w:val="a3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«Багатовіковий дуб Довженка» у Голосіївському районі</w:t>
      </w:r>
    </w:p>
    <w:p w14:paraId="6CFD0C37" w14:textId="0BA8CCDE" w:rsidR="00AD0A43" w:rsidRPr="00AD0A43" w:rsidRDefault="000B7232" w:rsidP="00AD0A4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="00D4668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D0A43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14:paraId="65AE78F8" w14:textId="39BFB6F4" w:rsidR="00A97C08" w:rsidRDefault="004C40FB" w:rsidP="004C40FB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по утриманню зелених насаджень </w:t>
      </w:r>
      <w:r w:rsidR="008B39B4">
        <w:rPr>
          <w:rFonts w:ascii="Times New Roman" w:hAnsi="Times New Roman" w:cs="Times New Roman"/>
          <w:sz w:val="28"/>
          <w:szCs w:val="28"/>
          <w:lang w:val="uk-UA"/>
        </w:rPr>
        <w:t xml:space="preserve">Печерського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міста Києва </w:t>
      </w:r>
      <w:r w:rsidR="00124AC9" w:rsidRPr="004C40FB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их у пп.1.1. цього рішення </w:t>
      </w:r>
      <w:r w:rsidR="00124AC9" w:rsidRPr="004C40FB">
        <w:rPr>
          <w:rFonts w:ascii="Times New Roman" w:hAnsi="Times New Roman" w:cs="Times New Roman"/>
          <w:bCs/>
          <w:sz w:val="28"/>
          <w:szCs w:val="28"/>
          <w:lang w:val="uk-UA"/>
        </w:rPr>
        <w:t>об</w:t>
      </w:r>
      <w:r w:rsidR="00124AC9" w:rsidRPr="008C77C6">
        <w:rPr>
          <w:lang w:val="uk-UA"/>
        </w:rPr>
        <w:sym w:font="Symbol" w:char="F0A2"/>
      </w:r>
      <w:proofErr w:type="spellStart"/>
      <w:r w:rsidR="00124AC9" w:rsidRPr="004C40FB">
        <w:rPr>
          <w:rFonts w:ascii="Times New Roman" w:hAnsi="Times New Roman" w:cs="Times New Roman"/>
          <w:sz w:val="28"/>
          <w:szCs w:val="28"/>
          <w:lang w:val="uk-UA"/>
        </w:rPr>
        <w:t>єкт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24AC9" w:rsidRPr="004C40FB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="00124AC9" w:rsidRPr="004C40FB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124AC9" w:rsidRPr="008C77C6">
        <w:rPr>
          <w:lang w:val="uk-UA"/>
        </w:rPr>
        <w:sym w:font="Symbol" w:char="F0A2"/>
      </w:r>
      <w:proofErr w:type="spellStart"/>
      <w:r w:rsidR="00124AC9" w:rsidRPr="004C40FB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="00124AC9" w:rsidRPr="004C40FB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14:paraId="1A8127E3" w14:textId="66D9F556" w:rsidR="004C40FB" w:rsidRPr="00D4668B" w:rsidRDefault="004C40FB" w:rsidP="004C40FB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668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Комунальному підприємству по утриманню зелених насаджень Голосіївського району міста Києва </w:t>
      </w:r>
      <w:r w:rsidRPr="00D4668B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охорону зазначен</w:t>
      </w:r>
      <w:r w:rsidR="00351A1B" w:rsidRPr="00D4668B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Pr="00D4668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пп.1.2. цього рішення об</w:t>
      </w:r>
      <w:r w:rsidRPr="00D4668B">
        <w:rPr>
          <w:lang w:val="uk-UA"/>
        </w:rPr>
        <w:sym w:font="Symbol" w:char="F0A2"/>
      </w:r>
      <w:proofErr w:type="spellStart"/>
      <w:r w:rsidRPr="00D4668B">
        <w:rPr>
          <w:rFonts w:ascii="Times New Roman" w:hAnsi="Times New Roman" w:cs="Times New Roman"/>
          <w:sz w:val="28"/>
          <w:szCs w:val="28"/>
          <w:lang w:val="uk-UA"/>
        </w:rPr>
        <w:t>єкт</w:t>
      </w:r>
      <w:r w:rsidR="00351A1B" w:rsidRPr="00D4668B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D4668B">
        <w:rPr>
          <w:rFonts w:ascii="Times New Roman" w:hAnsi="Times New Roman" w:cs="Times New Roman"/>
          <w:sz w:val="28"/>
          <w:szCs w:val="28"/>
          <w:lang w:val="uk-UA"/>
        </w:rPr>
        <w:t xml:space="preserve"> з оформленням охоронного </w:t>
      </w:r>
      <w:proofErr w:type="spellStart"/>
      <w:r w:rsidRPr="00D4668B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D4668B">
        <w:rPr>
          <w:lang w:val="uk-UA"/>
        </w:rPr>
        <w:sym w:font="Symbol" w:char="F0A2"/>
      </w:r>
      <w:proofErr w:type="spellStart"/>
      <w:r w:rsidRPr="00D4668B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D4668B">
        <w:rPr>
          <w:rFonts w:ascii="Times New Roman" w:hAnsi="Times New Roman" w:cs="Times New Roman"/>
          <w:sz w:val="28"/>
          <w:szCs w:val="28"/>
          <w:lang w:val="uk-UA"/>
        </w:rPr>
        <w:t xml:space="preserve"> щодо забезпечення режиму охорони та його збереження в установленому порядку.</w:t>
      </w:r>
    </w:p>
    <w:p w14:paraId="3C71322E" w14:textId="77777777" w:rsidR="00351A1B" w:rsidRDefault="00351A1B" w:rsidP="00351A1B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1710C00B" w14:textId="77777777" w:rsidR="00612953" w:rsidRDefault="00612953" w:rsidP="00612953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1D495DC7" w14:textId="77777777" w:rsidR="00DD1FFA" w:rsidRPr="004C40FB" w:rsidRDefault="00DD1FFA" w:rsidP="00DD1F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14:paraId="7CC764D0" w14:textId="51738FCF" w:rsidR="004C40FB" w:rsidRPr="004C40FB" w:rsidRDefault="00DD1FFA" w:rsidP="004C40FB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Взяти до відома, що</w:t>
      </w:r>
      <w:r w:rsidR="000B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другої статті 27 Закону України «Про природно-</w:t>
      </w:r>
      <w:r w:rsidRPr="00DD1FFA">
        <w:rPr>
          <w:rFonts w:ascii="Times New Roman" w:hAnsi="Times New Roman" w:cs="Times New Roman"/>
          <w:sz w:val="28"/>
          <w:szCs w:val="28"/>
          <w:lang w:val="uk-UA"/>
        </w:rPr>
        <w:t>заповідний фонд України»</w:t>
      </w:r>
      <w:r w:rsidR="000B72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F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DD1F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голошення пам’яток природи провадиться без вилучення</w:t>
      </w:r>
      <w:r w:rsidR="00D466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земельних ділянок, на яких вони розташовуються  </w:t>
      </w:r>
      <w:r w:rsidRPr="00DD1F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D466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їх</w:t>
      </w:r>
      <w:r w:rsidRPr="00DD1F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власників або користувачів.</w:t>
      </w:r>
    </w:p>
    <w:p w14:paraId="7163A170" w14:textId="06CE78F6" w:rsidR="00A97C08" w:rsidRDefault="00124AC9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97C0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570804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DD331B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DD331B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5D328399" w14:textId="77777777" w:rsidR="00570804" w:rsidRDefault="00A97C08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  <w:r w:rsidRPr="00DD331B">
        <w:rPr>
          <w:color w:val="000000"/>
          <w:sz w:val="28"/>
          <w:szCs w:val="28"/>
          <w:lang w:val="uk-UA"/>
        </w:rPr>
        <w:br w:type="page"/>
      </w:r>
    </w:p>
    <w:p w14:paraId="7C3F78CE" w14:textId="77777777" w:rsidR="00570804" w:rsidRDefault="00570804" w:rsidP="00124AC9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32DC4B73" w14:textId="77777777" w:rsidR="00351A1B" w:rsidRPr="008B39B4" w:rsidRDefault="00351A1B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280FADD" w14:textId="5D9EDEF5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4B40D3">
        <w:rPr>
          <w:b/>
          <w:bCs/>
          <w:color w:val="000000"/>
          <w:sz w:val="28"/>
          <w:szCs w:val="28"/>
        </w:rPr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2C54852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208DADB6" w:rsidR="00A97C08" w:rsidRPr="006E5E58" w:rsidRDefault="00452855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604FA437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5CA3629F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7048FC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DA8493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A10BE7D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74B3C8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CC4A57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7F0C42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634732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99B224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9D2DC2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4BD32E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32555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9AE438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358F27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B8F156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0C519A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22D4443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D332B8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85A1B86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DC03B3" w14:paraId="1D1E44E6" w14:textId="77777777" w:rsidTr="0055582E">
        <w:tc>
          <w:tcPr>
            <w:tcW w:w="5098" w:type="dxa"/>
          </w:tcPr>
          <w:p w14:paraId="7B0C8EFF" w14:textId="77777777" w:rsidR="00DC03B3" w:rsidRPr="00434136" w:rsidRDefault="00DC03B3" w:rsidP="0055582E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2BD6B384" w14:textId="77777777" w:rsidR="00DC03B3" w:rsidRPr="000449DC" w:rsidRDefault="00DC03B3" w:rsidP="0055582E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14:paraId="66B19190" w14:textId="77777777" w:rsidR="00DC03B3" w:rsidRPr="00370A47" w:rsidRDefault="00DC03B3" w:rsidP="00555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14:paraId="452A2D82" w14:textId="77777777" w:rsidR="00DC03B3" w:rsidRPr="00370A47" w:rsidRDefault="00DC03B3" w:rsidP="005558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14:paraId="7E20B927" w14:textId="77777777" w:rsidR="00DC03B3" w:rsidRPr="00370A47" w:rsidRDefault="00DC03B3" w:rsidP="005558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86C00B5" w14:textId="77777777" w:rsidR="00DC03B3" w:rsidRDefault="00DC03B3" w:rsidP="0055582E">
            <w:pPr>
              <w:rPr>
                <w:lang w:val="uk-UA"/>
              </w:rPr>
            </w:pPr>
          </w:p>
          <w:p w14:paraId="7263FD09" w14:textId="77777777" w:rsidR="00DC03B3" w:rsidRDefault="00DC03B3" w:rsidP="0055582E">
            <w:pPr>
              <w:rPr>
                <w:lang w:val="uk-UA"/>
              </w:rPr>
            </w:pPr>
          </w:p>
          <w:p w14:paraId="00EF47F2" w14:textId="77777777" w:rsidR="00DC03B3" w:rsidRDefault="00DC03B3" w:rsidP="0055582E">
            <w:pPr>
              <w:rPr>
                <w:lang w:val="uk-UA"/>
              </w:rPr>
            </w:pPr>
          </w:p>
          <w:p w14:paraId="76A7C42F" w14:textId="77777777" w:rsidR="00DC03B3" w:rsidRDefault="00DC03B3" w:rsidP="0055582E">
            <w:pPr>
              <w:rPr>
                <w:lang w:val="uk-UA"/>
              </w:rPr>
            </w:pPr>
          </w:p>
        </w:tc>
      </w:tr>
    </w:tbl>
    <w:p w14:paraId="2D45FA4E" w14:textId="77777777" w:rsidR="00DC03B3" w:rsidRDefault="00DC03B3" w:rsidP="00DC03B3">
      <w:pPr>
        <w:rPr>
          <w:lang w:val="uk-UA"/>
        </w:rPr>
      </w:pPr>
    </w:p>
    <w:p w14:paraId="70A05880" w14:textId="77777777" w:rsidR="00DC03B3" w:rsidRDefault="00DC03B3" w:rsidP="00DC03B3">
      <w:pPr>
        <w:rPr>
          <w:lang w:val="uk-UA"/>
        </w:rPr>
      </w:pPr>
    </w:p>
    <w:tbl>
      <w:tblPr>
        <w:tblStyle w:val="a5"/>
        <w:tblW w:w="11139" w:type="dxa"/>
        <w:tblInd w:w="-856" w:type="dxa"/>
        <w:tblLook w:val="04A0" w:firstRow="1" w:lastRow="0" w:firstColumn="1" w:lastColumn="0" w:noHBand="0" w:noVBand="1"/>
      </w:tblPr>
      <w:tblGrid>
        <w:gridCol w:w="795"/>
        <w:gridCol w:w="2232"/>
        <w:gridCol w:w="3178"/>
        <w:gridCol w:w="2549"/>
        <w:gridCol w:w="2385"/>
      </w:tblGrid>
      <w:tr w:rsidR="00DC03B3" w14:paraId="2D69A871" w14:textId="77777777" w:rsidTr="0055582E">
        <w:tc>
          <w:tcPr>
            <w:tcW w:w="795" w:type="dxa"/>
          </w:tcPr>
          <w:p w14:paraId="5270225B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301" w:type="dxa"/>
          </w:tcPr>
          <w:p w14:paraId="32E2E0A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491" w:type="dxa"/>
          </w:tcPr>
          <w:p w14:paraId="44D0B66A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3167" w:type="dxa"/>
          </w:tcPr>
          <w:p w14:paraId="15F2DB40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2385" w:type="dxa"/>
          </w:tcPr>
          <w:p w14:paraId="20D1D87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proofErr w:type="spellStart"/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  <w:proofErr w:type="spellEnd"/>
          </w:p>
        </w:tc>
      </w:tr>
      <w:tr w:rsidR="00DC03B3" w14:paraId="2D0BF443" w14:textId="77777777" w:rsidTr="0055582E">
        <w:tc>
          <w:tcPr>
            <w:tcW w:w="795" w:type="dxa"/>
          </w:tcPr>
          <w:p w14:paraId="496FC9C5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09C78C9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6DD29846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14:paraId="4328ACCA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Аскольдів ясен</w:t>
            </w:r>
          </w:p>
        </w:tc>
        <w:tc>
          <w:tcPr>
            <w:tcW w:w="3491" w:type="dxa"/>
          </w:tcPr>
          <w:p w14:paraId="0A79A8DD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дорога, 2 у Печерському районі</w:t>
            </w:r>
          </w:p>
          <w:p w14:paraId="784FD3D7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0,0014 га</w:t>
            </w:r>
          </w:p>
        </w:tc>
        <w:tc>
          <w:tcPr>
            <w:tcW w:w="3167" w:type="dxa"/>
          </w:tcPr>
          <w:p w14:paraId="297EC9BB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Печерського району міста Києва</w:t>
            </w:r>
          </w:p>
        </w:tc>
        <w:tc>
          <w:tcPr>
            <w:tcW w:w="2385" w:type="dxa"/>
          </w:tcPr>
          <w:p w14:paraId="000DD0B2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близько 170 років</w:t>
            </w:r>
          </w:p>
        </w:tc>
      </w:tr>
      <w:tr w:rsidR="00DC03B3" w:rsidRPr="004D65A6" w14:paraId="3150CE70" w14:textId="77777777" w:rsidTr="0055582E">
        <w:tc>
          <w:tcPr>
            <w:tcW w:w="795" w:type="dxa"/>
          </w:tcPr>
          <w:p w14:paraId="3EA67FA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47B7AC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60216FEB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14:paraId="7DCF657B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Багатовіковий</w:t>
            </w:r>
          </w:p>
          <w:p w14:paraId="18751B18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ясен-патріарх</w:t>
            </w:r>
          </w:p>
        </w:tc>
        <w:tc>
          <w:tcPr>
            <w:tcW w:w="3491" w:type="dxa"/>
          </w:tcPr>
          <w:p w14:paraId="5F9D217D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Паркова дорога, 2 у Печерському районі</w:t>
            </w:r>
          </w:p>
          <w:p w14:paraId="2A1A93F9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0,0014 га</w:t>
            </w:r>
          </w:p>
          <w:p w14:paraId="58AB8FF2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7" w:type="dxa"/>
          </w:tcPr>
          <w:p w14:paraId="48BE249C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Печерського району міста Києва</w:t>
            </w:r>
          </w:p>
        </w:tc>
        <w:tc>
          <w:tcPr>
            <w:tcW w:w="2385" w:type="dxa"/>
          </w:tcPr>
          <w:p w14:paraId="418F4B8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близько 175 років</w:t>
            </w:r>
          </w:p>
        </w:tc>
      </w:tr>
      <w:tr w:rsidR="00DC03B3" w:rsidRPr="004D65A6" w14:paraId="5BDD4A5A" w14:textId="77777777" w:rsidTr="0055582E">
        <w:tc>
          <w:tcPr>
            <w:tcW w:w="795" w:type="dxa"/>
          </w:tcPr>
          <w:p w14:paraId="040C5D1B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95C940C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D65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1FA875E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01" w:type="dxa"/>
          </w:tcPr>
          <w:p w14:paraId="1CBF6407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Багатовіковий</w:t>
            </w:r>
          </w:p>
          <w:p w14:paraId="756D1CDB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 Довженка</w:t>
            </w:r>
          </w:p>
        </w:tc>
        <w:tc>
          <w:tcPr>
            <w:tcW w:w="3491" w:type="dxa"/>
          </w:tcPr>
          <w:p w14:paraId="75F9063A" w14:textId="77777777" w:rsidR="00DC03B3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просп.Голосіївський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74Б у Голосіївському районі</w:t>
            </w:r>
          </w:p>
          <w:p w14:paraId="6D70C4E5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0,001 га</w:t>
            </w:r>
          </w:p>
        </w:tc>
        <w:tc>
          <w:tcPr>
            <w:tcW w:w="3167" w:type="dxa"/>
          </w:tcPr>
          <w:p w14:paraId="1A3E7FB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Комунальне підприємство по утриманню зелених насаджень Голосіївського району міста Києва</w:t>
            </w:r>
          </w:p>
        </w:tc>
        <w:tc>
          <w:tcPr>
            <w:tcW w:w="2385" w:type="dxa"/>
          </w:tcPr>
          <w:p w14:paraId="6AB5CF44" w14:textId="77777777" w:rsidR="00DC03B3" w:rsidRPr="004D65A6" w:rsidRDefault="00DC03B3" w:rsidP="0055582E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Дерево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черешчастого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віком близько 205 років</w:t>
            </w:r>
          </w:p>
        </w:tc>
      </w:tr>
    </w:tbl>
    <w:p w14:paraId="537A590D" w14:textId="77777777" w:rsidR="00DC03B3" w:rsidRDefault="00DC03B3" w:rsidP="00DC03B3">
      <w:pPr>
        <w:rPr>
          <w:lang w:val="uk-UA"/>
        </w:rPr>
      </w:pPr>
    </w:p>
    <w:p w14:paraId="17B73951" w14:textId="77777777" w:rsidR="00DC03B3" w:rsidRDefault="00DC03B3" w:rsidP="00DC03B3">
      <w:pPr>
        <w:rPr>
          <w:lang w:val="uk-UA"/>
        </w:rPr>
      </w:pPr>
    </w:p>
    <w:p w14:paraId="6B1E99FC" w14:textId="77777777" w:rsidR="00DC03B3" w:rsidRPr="00370A47" w:rsidRDefault="00DC03B3" w:rsidP="00DC03B3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14:paraId="2EA13F77" w14:textId="77777777" w:rsidR="00DC03B3" w:rsidRDefault="00DC03B3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89DA6" w14:textId="77777777" w:rsidR="00862DA5" w:rsidRPr="004B40D3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D7610F4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575377B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DE578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8D0BAF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AA1AFA3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4D0B9091" w14:textId="77777777" w:rsidR="002628D4" w:rsidRPr="005B5715" w:rsidRDefault="002628D4" w:rsidP="002628D4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FB5FA51" w14:textId="77777777" w:rsidR="002628D4" w:rsidRPr="002628D4" w:rsidRDefault="002628D4" w:rsidP="002628D4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628D4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1350E7FF" w14:textId="77777777" w:rsidR="002628D4" w:rsidRPr="002628D4" w:rsidRDefault="002628D4" w:rsidP="002628D4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628D4">
        <w:rPr>
          <w:b/>
          <w:bCs/>
          <w:color w:val="000000"/>
          <w:sz w:val="28"/>
          <w:szCs w:val="28"/>
          <w:lang w:val="uk-UA"/>
        </w:rPr>
        <w:t xml:space="preserve">до </w:t>
      </w:r>
      <w:proofErr w:type="spellStart"/>
      <w:r w:rsidRPr="002628D4">
        <w:rPr>
          <w:b/>
          <w:bCs/>
          <w:color w:val="000000"/>
          <w:sz w:val="28"/>
          <w:szCs w:val="28"/>
          <w:lang w:val="uk-UA"/>
        </w:rPr>
        <w:t>проєкту</w:t>
      </w:r>
      <w:proofErr w:type="spellEnd"/>
      <w:r w:rsidRPr="002628D4">
        <w:rPr>
          <w:b/>
          <w:bCs/>
          <w:color w:val="000000"/>
          <w:sz w:val="28"/>
          <w:szCs w:val="28"/>
          <w:lang w:val="uk-UA"/>
        </w:rPr>
        <w:t xml:space="preserve"> рішення Київської міської ради </w:t>
      </w:r>
    </w:p>
    <w:p w14:paraId="21E0CAB3" w14:textId="77777777" w:rsidR="002628D4" w:rsidRPr="002628D4" w:rsidRDefault="002628D4" w:rsidP="002628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2628D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оголошення ботанічних  </w:t>
      </w:r>
      <w:proofErr w:type="spellStart"/>
      <w:r w:rsidRPr="002628D4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пам</w:t>
      </w:r>
      <w:proofErr w:type="spellEnd"/>
      <w:r w:rsidRPr="002628D4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Symbol" w:char="F0A2"/>
      </w:r>
      <w:r w:rsidRPr="002628D4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яток природи місцевого значення «Аскольдів ясен», «Багатовіковий ясен-патріарх» і «Багатовіковий дуб Довженка</w:t>
      </w:r>
      <w:r w:rsidRPr="002628D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47CCFD2F" w14:textId="77777777" w:rsidR="002628D4" w:rsidRPr="002628D4" w:rsidRDefault="002628D4" w:rsidP="002628D4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2628D4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1E19CAD8" w14:textId="77777777" w:rsidR="002628D4" w:rsidRPr="002628D4" w:rsidRDefault="002628D4" w:rsidP="002628D4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proofErr w:type="spellStart"/>
      <w:r w:rsidRPr="002628D4">
        <w:rPr>
          <w:b/>
          <w:bCs/>
          <w:color w:val="000000"/>
          <w:sz w:val="28"/>
          <w:szCs w:val="28"/>
          <w:lang w:val="uk-UA"/>
        </w:rPr>
        <w:t>Обгрунтування</w:t>
      </w:r>
      <w:proofErr w:type="spellEnd"/>
      <w:r w:rsidRPr="002628D4">
        <w:rPr>
          <w:b/>
          <w:bCs/>
          <w:color w:val="000000"/>
          <w:sz w:val="28"/>
          <w:szCs w:val="28"/>
          <w:lang w:val="uk-UA"/>
        </w:rPr>
        <w:t xml:space="preserve"> необхідності прийняття рішення</w:t>
      </w:r>
    </w:p>
    <w:p w14:paraId="5E8780FB" w14:textId="77777777" w:rsidR="002628D4" w:rsidRP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передбачається оголосити природні об'єкти ботанічними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памятками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природи місцевого значення «Аскольдів ясен» та «Багатовіковий ясен-патріарх» у Печерському районі, а також «Багатовіковий дуб Довженка» у Голосіївському районі без вилучення у землекористувачів згідно з додатком.</w:t>
      </w:r>
    </w:p>
    <w:p w14:paraId="0F6C0616" w14:textId="77777777" w:rsidR="002628D4" w:rsidRP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«Аскольдів ясен» розташований на території зелених насаджень печерських схилів. Дерево у гарному стані, має широку, розлогу крону та ошатний презентабельний вигляд. Не зважаючи на поважний вік – близько 170 років – дерево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ясену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є відносно молодим та має значні перспективи для подальшого росту та розвитку крони.</w:t>
      </w:r>
    </w:p>
    <w:p w14:paraId="3E3238DC" w14:textId="77777777" w:rsidR="002628D4" w:rsidRP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«Багатовіковий ясен-патріарх» являється окрасою даної місцевості, добре зберігся, має рівний стовбур та рівномірно розгалужену крону, висота дерева – близько 25 метрів. Представники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ясена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звичайного (</w:t>
      </w:r>
      <w:r w:rsidRPr="002628D4">
        <w:rPr>
          <w:rFonts w:ascii="Times New Roman" w:hAnsi="Times New Roman" w:cs="Times New Roman"/>
          <w:sz w:val="28"/>
          <w:szCs w:val="28"/>
          <w:lang w:val="en-GB"/>
        </w:rPr>
        <w:t>Fraxinus</w:t>
      </w: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28D4">
        <w:rPr>
          <w:rFonts w:ascii="Times New Roman" w:hAnsi="Times New Roman" w:cs="Times New Roman"/>
          <w:sz w:val="28"/>
          <w:szCs w:val="28"/>
          <w:lang w:val="en-GB"/>
        </w:rPr>
        <w:t>excelsior</w:t>
      </w: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) виконують важливу стабілізуючу функцію на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грунтових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схилах, а завдяки структурі крони ясеневі групи позитивно впливають на оточуюче середовище, створюють оптимальних мікроклімат та зменшуючи амплітуду коливання температур.</w:t>
      </w:r>
    </w:p>
    <w:p w14:paraId="27BC129C" w14:textId="77777777" w:rsidR="002628D4" w:rsidRP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«Багатовіковий дуб Довженка» являє собою дерево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дуба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черешчатого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 w:rsidRPr="002628D4">
        <w:rPr>
          <w:rFonts w:ascii="Times New Roman" w:hAnsi="Times New Roman" w:cs="Times New Roman"/>
          <w:bCs/>
          <w:sz w:val="28"/>
          <w:szCs w:val="28"/>
          <w:lang w:val="en-GB"/>
        </w:rPr>
        <w:t>Quercus</w:t>
      </w: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en-GB"/>
        </w:rPr>
        <w:t>robul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628D4">
        <w:rPr>
          <w:rFonts w:ascii="Times New Roman" w:hAnsi="Times New Roman" w:cs="Times New Roman"/>
          <w:bCs/>
          <w:sz w:val="28"/>
          <w:szCs w:val="28"/>
          <w:lang w:val="en-GB"/>
        </w:rPr>
        <w:t>L</w:t>
      </w: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.) віком близько 205 років та висотою майже 21 метр. Стан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дуба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визначений як добрий, однак дерево потребує додаткових заходів по впорядкуванню крони та незначного лікування. Дуб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черешчатий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належить до довговічних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пород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, вік яких може становити 800-1500 років. Варто зазначити, що наявність заповідних меморіальних дерев на території житлового мікрорайону є важливою задля виховання у населення поваги та дбайливого ставлення до природи в цілому та природно-заповідного фонду зокрема.</w:t>
      </w:r>
    </w:p>
    <w:p w14:paraId="7522B778" w14:textId="77777777" w:rsid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Усі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вищеперелічені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дерева були досліджені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арбористом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Володимиром Леоненко (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Ветроградським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), на підставі чого укладено відповідні клопотання, наукові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обгрунтування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проєкти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створення. До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також додано і фотофіксацію дерев у поточному стані та картосхему їх розміщення.</w:t>
      </w:r>
    </w:p>
    <w:p w14:paraId="2966B32E" w14:textId="77777777" w:rsid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FE69EB" w14:textId="77777777" w:rsid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DE23BE" w14:textId="77777777" w:rsid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56F8E0D" w14:textId="77777777" w:rsidR="002628D4" w:rsidRPr="002628D4" w:rsidRDefault="002628D4" w:rsidP="002628D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FE57DC4" w14:textId="77777777" w:rsidR="002628D4" w:rsidRPr="002628D4" w:rsidRDefault="002628D4" w:rsidP="002628D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1695C1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277BE6E1" w14:textId="77777777" w:rsidR="002628D4" w:rsidRPr="002628D4" w:rsidRDefault="002628D4" w:rsidP="002628D4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розроблено з метою збереження біологічного різноманіття та цінних екземплярів рослинного світу у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м.Києві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7551071" w14:textId="77777777" w:rsidR="002628D4" w:rsidRPr="002628D4" w:rsidRDefault="002628D4" w:rsidP="002628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75649C8F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Загальна характеристика та основні положення </w:t>
      </w:r>
      <w:proofErr w:type="spellStart"/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рішення</w:t>
      </w:r>
    </w:p>
    <w:p w14:paraId="2FD70E2A" w14:textId="77777777" w:rsidR="002628D4" w:rsidRPr="002628D4" w:rsidRDefault="002628D4" w:rsidP="002628D4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Положеннями </w:t>
      </w:r>
      <w:proofErr w:type="spellStart"/>
      <w:r w:rsidRPr="002628D4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sz w:val="28"/>
          <w:szCs w:val="28"/>
          <w:lang w:val="uk-UA"/>
        </w:rPr>
        <w:t xml:space="preserve"> рішення передбачається оголосити природні об'єкти ботанічними пам’ятками природи місцевого значення «Аскольдів ясен» та «Багатовіковий ясен-патріарх» у Печерському районі, а також «Багатовіковий дуб Довженка» у Голосіївському районі без вилучення у землекористувачів згідно з додатком.</w:t>
      </w:r>
    </w:p>
    <w:p w14:paraId="6847309B" w14:textId="77777777" w:rsidR="002628D4" w:rsidRPr="002628D4" w:rsidRDefault="002628D4" w:rsidP="002628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E2091DD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2887FD0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  <w:lang w:val="uk-UA"/>
        </w:rPr>
        <w:t>Дана сфера суспільних відносин врегульована пунктом 37 частини першої статті 26 Закону України «Про місцеве самоврядування в Україні», пунктом «і» частини першої статті 15 Закону України «Про охорону навколишнього природного середовища», статтями 27, 51-53 Закону України «Про природно-заповідний фонд України».</w:t>
      </w:r>
    </w:p>
    <w:p w14:paraId="199C0EB4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ECD574" w14:textId="77777777" w:rsidR="002628D4" w:rsidRPr="002628D4" w:rsidRDefault="002628D4" w:rsidP="002628D4">
      <w:pPr>
        <w:pStyle w:val="a3"/>
        <w:keepNext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8D4">
        <w:rPr>
          <w:rFonts w:ascii="Times New Roman" w:hAnsi="Times New Roman" w:cs="Times New Roman"/>
          <w:b/>
          <w:bCs/>
          <w:sz w:val="28"/>
          <w:szCs w:val="28"/>
        </w:rPr>
        <w:t>Наявність інформації з обмеженим доступом</w:t>
      </w:r>
    </w:p>
    <w:p w14:paraId="22C57040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8D4">
        <w:rPr>
          <w:rFonts w:ascii="Times New Roman" w:hAnsi="Times New Roman" w:cs="Times New Roman"/>
          <w:sz w:val="28"/>
          <w:szCs w:val="28"/>
        </w:rPr>
        <w:t>Проєкт рішення не містить інформації з обмеженим доступом у розумінні статті 6 Закону України «Про доступ до публічної інформації».</w:t>
      </w:r>
    </w:p>
    <w:p w14:paraId="0B700811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22C38" w14:textId="77777777" w:rsidR="002628D4" w:rsidRPr="002628D4" w:rsidRDefault="002628D4" w:rsidP="002628D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8D4">
        <w:rPr>
          <w:rFonts w:ascii="Times New Roman" w:hAnsi="Times New Roman" w:cs="Times New Roman"/>
          <w:b/>
          <w:bCs/>
          <w:sz w:val="28"/>
          <w:szCs w:val="28"/>
        </w:rPr>
        <w:t>Вплив на життєдіяльність осіб з інвалідністю</w:t>
      </w:r>
    </w:p>
    <w:p w14:paraId="5C975B73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sz w:val="28"/>
          <w:szCs w:val="28"/>
        </w:rPr>
        <w:t>Положення проєкту рішення не стосуються прав і соціальної захищеності осіб з інвалідністю та не матиме впливу на життєдіяльність даної категорії громадян</w:t>
      </w:r>
      <w:r w:rsidRPr="002628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9C3554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B6963B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Фінансово-економічне </w:t>
      </w:r>
      <w:proofErr w:type="spellStart"/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</w:p>
    <w:p w14:paraId="2BAE308C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Реалізація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залучення коштів з бюджету </w:t>
      </w: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м.Києва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54893FE7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6560FA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3C462B6A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не потребує громадського обговорення.</w:t>
      </w:r>
    </w:p>
    <w:p w14:paraId="6AFC5E1E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7A4D95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F50AEC1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12474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782695C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61B7BD" w14:textId="77777777" w:rsid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F12BCD" w14:textId="77777777" w:rsidR="002628D4" w:rsidRPr="002628D4" w:rsidRDefault="002628D4" w:rsidP="002628D4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B39237" w14:textId="77777777" w:rsidR="002628D4" w:rsidRPr="002628D4" w:rsidRDefault="002628D4" w:rsidP="002628D4">
      <w:pPr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79FD48C7" w14:textId="77777777" w:rsidR="002628D4" w:rsidRPr="002628D4" w:rsidRDefault="002628D4" w:rsidP="002628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Прийняття </w:t>
      </w:r>
      <w:proofErr w:type="spellStart"/>
      <w:r w:rsidRPr="002628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проєкту</w:t>
      </w:r>
      <w:proofErr w:type="spellEnd"/>
      <w:r w:rsidRPr="002628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рішення сприятиме поліпшенню екологічного та санітарного стану </w:t>
      </w:r>
      <w:proofErr w:type="spellStart"/>
      <w:r w:rsidRPr="002628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м.Києва</w:t>
      </w:r>
      <w:proofErr w:type="spellEnd"/>
      <w:r w:rsidRPr="002628D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матиме важливе естетичне та біологічне значення, а також суттєву історико-меморіальну цінність.</w:t>
      </w:r>
    </w:p>
    <w:p w14:paraId="04DE03CA" w14:textId="77777777" w:rsidR="002628D4" w:rsidRPr="002628D4" w:rsidRDefault="002628D4" w:rsidP="002628D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4441BD9" w14:textId="77777777" w:rsidR="002628D4" w:rsidRPr="002628D4" w:rsidRDefault="002628D4" w:rsidP="002628D4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Суб’єкт подання та доповідач на пленарному засіданні Київської міської ради</w:t>
      </w:r>
    </w:p>
    <w:p w14:paraId="53ED27E7" w14:textId="77777777" w:rsidR="002628D4" w:rsidRPr="002628D4" w:rsidRDefault="002628D4" w:rsidP="002628D4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2628D4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2628D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4C209B1D" w14:textId="77777777" w:rsidR="002628D4" w:rsidRPr="002628D4" w:rsidRDefault="002628D4" w:rsidP="002628D4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EB8B58" w14:textId="77777777" w:rsidR="002628D4" w:rsidRPr="002628D4" w:rsidRDefault="002628D4" w:rsidP="002628D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28D4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14:paraId="0769A0E1" w14:textId="2249DEBC" w:rsidR="00A33A69" w:rsidRPr="00A97C08" w:rsidRDefault="00A33A69" w:rsidP="00A97C08">
      <w:pPr>
        <w:rPr>
          <w:lang w:val="uk-UA"/>
        </w:rPr>
      </w:pPr>
    </w:p>
    <w:sectPr w:rsidR="00A33A69" w:rsidRPr="00A97C08" w:rsidSect="00570804">
      <w:pgSz w:w="11906" w:h="16838"/>
      <w:pgMar w:top="252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multilevel"/>
    <w:tmpl w:val="3AF2B06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2160"/>
      </w:pPr>
      <w:rPr>
        <w:rFonts w:hint="default"/>
      </w:r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2690">
    <w:abstractNumId w:val="4"/>
  </w:num>
  <w:num w:numId="2" w16cid:durableId="271323921">
    <w:abstractNumId w:val="3"/>
  </w:num>
  <w:num w:numId="3" w16cid:durableId="86540958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429744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066671"/>
    <w:rsid w:val="000B7232"/>
    <w:rsid w:val="00124AC9"/>
    <w:rsid w:val="002628D4"/>
    <w:rsid w:val="00351A1B"/>
    <w:rsid w:val="0043784E"/>
    <w:rsid w:val="00452855"/>
    <w:rsid w:val="004C40FB"/>
    <w:rsid w:val="005529CA"/>
    <w:rsid w:val="00570804"/>
    <w:rsid w:val="00584854"/>
    <w:rsid w:val="00612953"/>
    <w:rsid w:val="006F266F"/>
    <w:rsid w:val="00820E24"/>
    <w:rsid w:val="00862DA5"/>
    <w:rsid w:val="008B39B4"/>
    <w:rsid w:val="008C77C6"/>
    <w:rsid w:val="009829AB"/>
    <w:rsid w:val="00A06D38"/>
    <w:rsid w:val="00A071C5"/>
    <w:rsid w:val="00A33A69"/>
    <w:rsid w:val="00A97C08"/>
    <w:rsid w:val="00AD0A43"/>
    <w:rsid w:val="00D4668B"/>
    <w:rsid w:val="00DC03B3"/>
    <w:rsid w:val="00DD1FFA"/>
    <w:rsid w:val="00DD331B"/>
    <w:rsid w:val="00E967C6"/>
    <w:rsid w:val="00F56A57"/>
    <w:rsid w:val="00F729FD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7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2023-01-12T13:54:00Z</dcterms:created>
  <dcterms:modified xsi:type="dcterms:W3CDTF">2023-07-17T08:43:00Z</dcterms:modified>
</cp:coreProperties>
</file>