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9077" w14:textId="77777777" w:rsidR="00BB75D0" w:rsidRDefault="004218D1">
      <w:pPr>
        <w:pBdr>
          <w:top w:val="nil"/>
          <w:left w:val="nil"/>
          <w:bottom w:val="nil"/>
          <w:right w:val="nil"/>
          <w:between w:val="nil"/>
        </w:pBdr>
        <w:spacing w:line="240" w:lineRule="auto"/>
        <w:ind w:left="1" w:hanging="3"/>
        <w:jc w:val="center"/>
        <w:rPr>
          <w:color w:val="000000"/>
          <w:sz w:val="28"/>
          <w:szCs w:val="28"/>
        </w:rPr>
      </w:pPr>
      <w:r>
        <w:rPr>
          <w:b/>
          <w:color w:val="000000"/>
          <w:sz w:val="28"/>
          <w:szCs w:val="28"/>
        </w:rPr>
        <w:t>Пояснювальна записка</w:t>
      </w:r>
    </w:p>
    <w:p w14:paraId="07FBE29A" w14:textId="77777777" w:rsidR="00BB75D0" w:rsidRDefault="004218D1">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до проєкту рішення Київської міської ради</w:t>
      </w:r>
    </w:p>
    <w:p w14:paraId="6530D85A" w14:textId="0B4E6CE2" w:rsidR="00BB75D0" w:rsidRDefault="004218D1">
      <w:pPr>
        <w:pBdr>
          <w:top w:val="nil"/>
          <w:left w:val="nil"/>
          <w:bottom w:val="nil"/>
          <w:right w:val="nil"/>
          <w:between w:val="nil"/>
        </w:pBdr>
        <w:spacing w:line="240" w:lineRule="auto"/>
        <w:ind w:left="1" w:hanging="3"/>
        <w:jc w:val="center"/>
        <w:rPr>
          <w:color w:val="000000"/>
          <w:sz w:val="28"/>
          <w:szCs w:val="28"/>
        </w:rPr>
      </w:pPr>
      <w:r>
        <w:rPr>
          <w:color w:val="333333"/>
          <w:sz w:val="28"/>
          <w:szCs w:val="28"/>
        </w:rPr>
        <w:t>«</w:t>
      </w:r>
      <w:r>
        <w:rPr>
          <w:b/>
          <w:color w:val="000000"/>
          <w:sz w:val="28"/>
          <w:szCs w:val="28"/>
        </w:rPr>
        <w:t xml:space="preserve">Про </w:t>
      </w:r>
      <w:r>
        <w:rPr>
          <w:b/>
          <w:sz w:val="28"/>
          <w:szCs w:val="28"/>
        </w:rPr>
        <w:t>з</w:t>
      </w:r>
      <w:r>
        <w:rPr>
          <w:b/>
          <w:color w:val="000000"/>
          <w:sz w:val="28"/>
          <w:szCs w:val="28"/>
        </w:rPr>
        <w:t xml:space="preserve">атвердження </w:t>
      </w:r>
      <w:r w:rsidR="0088033A">
        <w:rPr>
          <w:b/>
          <w:sz w:val="28"/>
          <w:szCs w:val="28"/>
        </w:rPr>
        <w:t>п</w:t>
      </w:r>
      <w:r>
        <w:rPr>
          <w:b/>
          <w:sz w:val="28"/>
          <w:szCs w:val="28"/>
        </w:rPr>
        <w:t>лану дій із впровадження у місті Києві Ініціативи «Партнерство «Відкритий Уряд» у 2025 - 2026 роках»</w:t>
      </w:r>
    </w:p>
    <w:p w14:paraId="1DE8ED8F" w14:textId="77777777" w:rsidR="00BB75D0" w:rsidRDefault="00BB75D0">
      <w:pPr>
        <w:pBdr>
          <w:top w:val="nil"/>
          <w:left w:val="nil"/>
          <w:bottom w:val="nil"/>
          <w:right w:val="nil"/>
          <w:between w:val="nil"/>
        </w:pBdr>
        <w:spacing w:line="240" w:lineRule="auto"/>
        <w:ind w:left="1" w:hanging="3"/>
        <w:jc w:val="center"/>
        <w:rPr>
          <w:color w:val="000000"/>
          <w:sz w:val="28"/>
          <w:szCs w:val="28"/>
        </w:rPr>
      </w:pPr>
    </w:p>
    <w:p w14:paraId="0BEE39E7" w14:textId="40F06052" w:rsidR="00BB75D0" w:rsidRDefault="004218D1" w:rsidP="00255CC0">
      <w:pPr>
        <w:pBdr>
          <w:top w:val="nil"/>
          <w:left w:val="nil"/>
          <w:bottom w:val="nil"/>
          <w:right w:val="nil"/>
          <w:between w:val="nil"/>
        </w:pBdr>
        <w:spacing w:line="240" w:lineRule="auto"/>
        <w:ind w:left="-2" w:firstLineChars="0" w:firstLine="720"/>
        <w:jc w:val="both"/>
        <w:rPr>
          <w:b/>
          <w:sz w:val="28"/>
          <w:szCs w:val="28"/>
        </w:rPr>
      </w:pPr>
      <w:r>
        <w:rPr>
          <w:b/>
          <w:sz w:val="28"/>
          <w:szCs w:val="28"/>
        </w:rPr>
        <w:t xml:space="preserve">1. Опис проблем, для вирішення яких підготовлено проєкт рішення, </w:t>
      </w:r>
      <w:r>
        <w:rPr>
          <w:b/>
          <w:color w:val="000000"/>
          <w:sz w:val="28"/>
          <w:szCs w:val="28"/>
        </w:rPr>
        <w:t>обґрунтування  відповідності та достатності передбачених у проєкті рішення механізмів і способів вирішення існуючих проблем, а також актуальності цих проблем для територіальної громади міста Києва.</w:t>
      </w:r>
    </w:p>
    <w:p w14:paraId="4D301A2D" w14:textId="77777777" w:rsidR="00BB75D0" w:rsidRDefault="004218D1" w:rsidP="00255CC0">
      <w:pPr>
        <w:ind w:left="-2" w:firstLineChars="0" w:firstLine="720"/>
        <w:jc w:val="both"/>
        <w:rPr>
          <w:sz w:val="28"/>
          <w:szCs w:val="28"/>
        </w:rPr>
      </w:pPr>
      <w:r>
        <w:rPr>
          <w:sz w:val="28"/>
          <w:szCs w:val="28"/>
        </w:rPr>
        <w:t>Місто Київ приєдналося до ініціативи «Партнерство «Відкритий Уряд» (далі - OGP Local) у квітні 2024 року, ставши одним із 152 муніципалітетів, включених до цієї глобальної мережі, представленої у 77 країнах світу. Рішення про приєднання було частиною міжнародних зусиль для розвитку відкритого врядування, підзвітності та залучення громадян. Ця подія стала важливим кроком для столиці України, яка продовжує утверджувати свою роль у міжнародній спільноті реформаторів, як місто зі сталими традиціями демократичного врядування.</w:t>
      </w:r>
    </w:p>
    <w:p w14:paraId="49690039" w14:textId="0D3C3E7C" w:rsidR="00BB75D0" w:rsidRDefault="004218D1" w:rsidP="00255CC0">
      <w:pPr>
        <w:ind w:left="-2" w:firstLineChars="0" w:firstLine="720"/>
        <w:jc w:val="both"/>
        <w:rPr>
          <w:sz w:val="28"/>
          <w:szCs w:val="28"/>
        </w:rPr>
      </w:pPr>
      <w:r>
        <w:rPr>
          <w:sz w:val="28"/>
          <w:szCs w:val="28"/>
        </w:rPr>
        <w:t xml:space="preserve">Починаючи з березня 2024 року, було розпочато роботу з подання заявки на вступ до OGP Local. 16 квітня 2024 року </w:t>
      </w:r>
      <w:r>
        <w:rPr>
          <w:rFonts w:ascii="Arial" w:eastAsia="Arial" w:hAnsi="Arial" w:cs="Arial"/>
          <w:color w:val="474747"/>
          <w:sz w:val="21"/>
          <w:szCs w:val="21"/>
          <w:highlight w:val="white"/>
        </w:rPr>
        <w:t xml:space="preserve">– </w:t>
      </w:r>
      <w:r>
        <w:rPr>
          <w:sz w:val="28"/>
          <w:szCs w:val="28"/>
        </w:rPr>
        <w:t xml:space="preserve">офіційне приєднання міста Києва до OGP Local. З травня 2024 року розпочато розробку місцевого </w:t>
      </w:r>
      <w:r w:rsidR="00255CC0">
        <w:rPr>
          <w:sz w:val="28"/>
          <w:szCs w:val="28"/>
        </w:rPr>
        <w:t>п</w:t>
      </w:r>
      <w:r>
        <w:rPr>
          <w:sz w:val="28"/>
          <w:szCs w:val="28"/>
        </w:rPr>
        <w:t>лану дій</w:t>
      </w:r>
      <w:r w:rsidR="002E4F12">
        <w:rPr>
          <w:sz w:val="28"/>
          <w:szCs w:val="28"/>
        </w:rPr>
        <w:t xml:space="preserve"> із впровадження</w:t>
      </w:r>
      <w:r>
        <w:rPr>
          <w:sz w:val="28"/>
          <w:szCs w:val="28"/>
        </w:rPr>
        <w:t xml:space="preserve"> у м</w:t>
      </w:r>
      <w:r w:rsidR="002E4F12">
        <w:rPr>
          <w:sz w:val="28"/>
          <w:szCs w:val="28"/>
        </w:rPr>
        <w:t>істі</w:t>
      </w:r>
      <w:r w:rsidR="009E7BE5">
        <w:rPr>
          <w:sz w:val="28"/>
          <w:szCs w:val="28"/>
        </w:rPr>
        <w:t> </w:t>
      </w:r>
      <w:r>
        <w:rPr>
          <w:sz w:val="28"/>
          <w:szCs w:val="28"/>
        </w:rPr>
        <w:t>Києві</w:t>
      </w:r>
      <w:r w:rsidR="002E4F12">
        <w:rPr>
          <w:sz w:val="28"/>
          <w:szCs w:val="28"/>
        </w:rPr>
        <w:t xml:space="preserve"> Ініціативи «Партнерство «Відкритий Уряд»</w:t>
      </w:r>
      <w:r>
        <w:rPr>
          <w:sz w:val="28"/>
          <w:szCs w:val="28"/>
        </w:rPr>
        <w:t xml:space="preserve"> </w:t>
      </w:r>
      <w:r w:rsidR="002E4F12">
        <w:rPr>
          <w:sz w:val="28"/>
          <w:szCs w:val="28"/>
        </w:rPr>
        <w:t>у</w:t>
      </w:r>
      <w:r>
        <w:rPr>
          <w:sz w:val="28"/>
          <w:szCs w:val="28"/>
        </w:rPr>
        <w:t xml:space="preserve"> 2025 - 2026 роки</w:t>
      </w:r>
      <w:r w:rsidR="00255CC0">
        <w:rPr>
          <w:sz w:val="28"/>
          <w:szCs w:val="28"/>
        </w:rPr>
        <w:t xml:space="preserve"> (далі – План дій)</w:t>
      </w:r>
      <w:r>
        <w:rPr>
          <w:sz w:val="28"/>
          <w:szCs w:val="28"/>
        </w:rPr>
        <w:t>.</w:t>
      </w:r>
    </w:p>
    <w:p w14:paraId="5C3A564F" w14:textId="1883C621" w:rsidR="00BB75D0" w:rsidRDefault="004218D1" w:rsidP="00255CC0">
      <w:pPr>
        <w:ind w:left="-2" w:firstLineChars="0" w:firstLine="720"/>
        <w:jc w:val="both"/>
        <w:rPr>
          <w:sz w:val="28"/>
          <w:szCs w:val="28"/>
        </w:rPr>
      </w:pPr>
      <w:r>
        <w:rPr>
          <w:sz w:val="28"/>
          <w:szCs w:val="28"/>
        </w:rPr>
        <w:t xml:space="preserve">Приєднання Києва супроводжувалося активною співпрацею місцевих органів влади з громадянським суспільством. Зокрема, представники структурних підрозділів </w:t>
      </w:r>
      <w:r w:rsidR="00C73E66">
        <w:rPr>
          <w:sz w:val="28"/>
          <w:szCs w:val="28"/>
        </w:rPr>
        <w:t>виконавчого органу Київської міської ради (</w:t>
      </w:r>
      <w:r>
        <w:rPr>
          <w:sz w:val="28"/>
          <w:szCs w:val="28"/>
        </w:rPr>
        <w:t>Київської міської державної адміністрації</w:t>
      </w:r>
      <w:r w:rsidR="00C73E66">
        <w:rPr>
          <w:sz w:val="28"/>
          <w:szCs w:val="28"/>
        </w:rPr>
        <w:t>)</w:t>
      </w:r>
      <w:r>
        <w:rPr>
          <w:sz w:val="28"/>
          <w:szCs w:val="28"/>
        </w:rPr>
        <w:t>, інститути громадянського суспільства, наукова спільнота, медіа та молодь брали активну участь у заходах, присвячених розробці Плану дій. Зокрема, 7 липня 2024 року було проведено ознайомчий семінар для стейкхолдерів, а 26 вересня 2024 року було проведено стратегічну сесію з напрацювання напрямів зобов'язань для місцевого Плану дій у м. Києві із залученням широкого кола стейкхолдерів.</w:t>
      </w:r>
    </w:p>
    <w:p w14:paraId="450DF91A" w14:textId="77777777" w:rsidR="00BB75D0" w:rsidRDefault="004218D1" w:rsidP="00255CC0">
      <w:pPr>
        <w:ind w:left="-2" w:firstLineChars="0" w:firstLine="720"/>
        <w:jc w:val="both"/>
        <w:rPr>
          <w:sz w:val="28"/>
          <w:szCs w:val="28"/>
        </w:rPr>
      </w:pPr>
      <w:r>
        <w:rPr>
          <w:sz w:val="28"/>
          <w:szCs w:val="28"/>
        </w:rPr>
        <w:t>Основна увага при розробці зобов’язань була зосереджена на інклюзивності, цифровізації та створенні нових механізмів для взаємодії між владою та громадою.</w:t>
      </w:r>
    </w:p>
    <w:p w14:paraId="441A4392" w14:textId="77777777" w:rsidR="00BB75D0" w:rsidRDefault="004218D1" w:rsidP="00255CC0">
      <w:pPr>
        <w:ind w:left="-2" w:firstLineChars="0" w:firstLine="720"/>
        <w:jc w:val="both"/>
        <w:rPr>
          <w:sz w:val="28"/>
          <w:szCs w:val="28"/>
        </w:rPr>
      </w:pPr>
      <w:r>
        <w:rPr>
          <w:sz w:val="28"/>
          <w:szCs w:val="28"/>
        </w:rPr>
        <w:t>Цей крок став можливим завдяки підтримці міжнародних партнерів, зокрема Конгресу місцевих та регіональних влад Ради Європи, який допомагає місцевим органам влади у впровадженні принципів прозорого врядування.</w:t>
      </w:r>
    </w:p>
    <w:p w14:paraId="3E9F0BCF" w14:textId="77777777" w:rsidR="00BB75D0" w:rsidRDefault="004218D1" w:rsidP="00255CC0">
      <w:pPr>
        <w:ind w:left="-2" w:firstLineChars="0" w:firstLine="720"/>
        <w:jc w:val="both"/>
        <w:rPr>
          <w:sz w:val="28"/>
          <w:szCs w:val="28"/>
        </w:rPr>
      </w:pPr>
      <w:r>
        <w:rPr>
          <w:sz w:val="28"/>
          <w:szCs w:val="28"/>
        </w:rPr>
        <w:t xml:space="preserve">Основною проблемою, яку вирішує запропонований проєкт рішення, є недостатній рівень залученості громадян до процесів управління містом. Результати соціологічного дослідження,  проведеного у 2024 році комунальною науково-дослідною установою </w:t>
      </w:r>
      <w:r>
        <w:rPr>
          <w:b/>
          <w:sz w:val="28"/>
          <w:szCs w:val="28"/>
        </w:rPr>
        <w:t>«</w:t>
      </w:r>
      <w:r>
        <w:rPr>
          <w:sz w:val="28"/>
          <w:szCs w:val="28"/>
        </w:rPr>
        <w:t>Науково-дослідний інститут соціально-економічного розвитку міста</w:t>
      </w:r>
      <w:r>
        <w:rPr>
          <w:b/>
          <w:sz w:val="28"/>
          <w:szCs w:val="28"/>
        </w:rPr>
        <w:t>»</w:t>
      </w:r>
      <w:r>
        <w:rPr>
          <w:sz w:val="28"/>
          <w:szCs w:val="28"/>
        </w:rPr>
        <w:t xml:space="preserve"> свідчать, що лише 34% мешканців Києва вважають, що їх думка враховується місцевою владою, а 43% оцінюють діяльність органів влади як відкриту. Це свідчить про необхідність створення більш прозорих і доступних механізмів участі громадськості, що дозволить </w:t>
      </w:r>
      <w:r>
        <w:rPr>
          <w:sz w:val="28"/>
          <w:szCs w:val="28"/>
        </w:rPr>
        <w:lastRenderedPageBreak/>
        <w:t>підвищити рівень довіри до міської влади та залучення громадян до формування місцевих політик, оскільки наразі участь громадян у прийнятті рішень є недостатньою та потребує інноваційного підходу в механізмах залучення. В свою чергу, відсутність достатніх інструментів відкритості у міських політиках призводить до низького рівня довіри до місцевої влади. Саме тому існує нагальна потреба у впровадженні цифрових інструментів і платформ для доступу до інформації. Водночас, незважаючи на наявність понад 20 інструментів участі, ефективність їх використання обмежена в умовах війни, що знижує можливості для реалізації ініціатив громади. Окремо варто відзначити молодь, оскільки вона часто не усвідомлює своїх можливостей для впливу на місцеву політику, через що знижується рівень її залученості.</w:t>
      </w:r>
    </w:p>
    <w:p w14:paraId="7694E0E2" w14:textId="77777777" w:rsidR="00BB75D0" w:rsidRDefault="004218D1" w:rsidP="00255CC0">
      <w:pPr>
        <w:ind w:left="-2" w:firstLineChars="0" w:firstLine="720"/>
        <w:jc w:val="both"/>
        <w:rPr>
          <w:sz w:val="28"/>
          <w:szCs w:val="28"/>
        </w:rPr>
      </w:pPr>
      <w:r>
        <w:rPr>
          <w:sz w:val="28"/>
          <w:szCs w:val="28"/>
        </w:rPr>
        <w:t>Проєкт рішення передбачає впровадження низки інноваційних інструментів, зокрема публічних консультацій, розширення мережі громадських просторів «Vcentri HUB», створення інтерактивних цифрових платформ для громадської участі, а також розробку та впровадження навчальних програм з громадянської освіти для молоді. Ці механізми забезпечать інклюзивність процесів прийняття рішень, сприятимуть прозорості управління та розширять можливості для громадян брати участь у розробці і впровадженні міських політик.</w:t>
      </w:r>
    </w:p>
    <w:p w14:paraId="48843264" w14:textId="77777777" w:rsidR="00BB75D0" w:rsidRDefault="004218D1" w:rsidP="00255CC0">
      <w:pPr>
        <w:ind w:left="-2" w:firstLineChars="0" w:firstLine="720"/>
        <w:jc w:val="both"/>
        <w:rPr>
          <w:sz w:val="28"/>
          <w:szCs w:val="28"/>
        </w:rPr>
      </w:pPr>
      <w:r>
        <w:rPr>
          <w:sz w:val="28"/>
          <w:szCs w:val="28"/>
        </w:rPr>
        <w:t>Актуальність проблеми обумовлена зростаючими запитами громадян на прозоре врядування, ефективні цифрові сервіси та інструменти участі. Ухвалення цього рішення є важливим для задоволення потреб громади в умовах динамічного розвитку Києва як європейської столиці. Реалізація запропонованих заходів сприятиме розвитку громадянського суспільства, зміцненню соціальної згуртованості та підвищенню міжнародного іміджу Києва як прозорого і відкритого міста.</w:t>
      </w:r>
    </w:p>
    <w:p w14:paraId="128DFC93" w14:textId="77777777" w:rsidR="00BB75D0" w:rsidRDefault="004218D1" w:rsidP="00255CC0">
      <w:pPr>
        <w:ind w:left="-2" w:firstLineChars="0" w:firstLine="720"/>
        <w:jc w:val="both"/>
        <w:rPr>
          <w:sz w:val="28"/>
          <w:szCs w:val="28"/>
        </w:rPr>
      </w:pPr>
      <w:r>
        <w:rPr>
          <w:sz w:val="28"/>
          <w:szCs w:val="28"/>
        </w:rPr>
        <w:t>Проєкт рішення базується на реалізації Ініціативи OGP Local, яка передбачає:</w:t>
      </w:r>
    </w:p>
    <w:p w14:paraId="6C1F4980" w14:textId="77777777" w:rsidR="00BB75D0" w:rsidRDefault="004218D1" w:rsidP="00255CC0">
      <w:pPr>
        <w:numPr>
          <w:ilvl w:val="0"/>
          <w:numId w:val="1"/>
        </w:numPr>
        <w:spacing w:line="240" w:lineRule="auto"/>
        <w:ind w:left="-2" w:firstLineChars="0" w:firstLine="720"/>
        <w:jc w:val="both"/>
        <w:rPr>
          <w:sz w:val="28"/>
          <w:szCs w:val="28"/>
        </w:rPr>
      </w:pPr>
      <w:r>
        <w:rPr>
          <w:sz w:val="28"/>
          <w:szCs w:val="28"/>
        </w:rPr>
        <w:t>використання сучасних цифрових технологій для залучення громадян;</w:t>
      </w:r>
    </w:p>
    <w:p w14:paraId="075392E3" w14:textId="77777777" w:rsidR="00BB75D0" w:rsidRDefault="004218D1" w:rsidP="00255CC0">
      <w:pPr>
        <w:numPr>
          <w:ilvl w:val="0"/>
          <w:numId w:val="1"/>
        </w:numPr>
        <w:spacing w:line="240" w:lineRule="auto"/>
        <w:ind w:left="-2" w:firstLineChars="0" w:firstLine="720"/>
        <w:jc w:val="both"/>
        <w:rPr>
          <w:sz w:val="28"/>
          <w:szCs w:val="28"/>
        </w:rPr>
      </w:pPr>
      <w:r>
        <w:rPr>
          <w:sz w:val="28"/>
          <w:szCs w:val="28"/>
        </w:rPr>
        <w:t>розширення спектра послуг через електронні платформи;</w:t>
      </w:r>
    </w:p>
    <w:p w14:paraId="2C36CAC9" w14:textId="77777777" w:rsidR="00BB75D0" w:rsidRDefault="004218D1" w:rsidP="00255CC0">
      <w:pPr>
        <w:numPr>
          <w:ilvl w:val="0"/>
          <w:numId w:val="1"/>
        </w:numPr>
        <w:spacing w:line="240" w:lineRule="auto"/>
        <w:ind w:left="-2" w:firstLineChars="0" w:firstLine="720"/>
        <w:jc w:val="both"/>
        <w:rPr>
          <w:sz w:val="28"/>
          <w:szCs w:val="28"/>
        </w:rPr>
      </w:pPr>
      <w:r>
        <w:rPr>
          <w:sz w:val="28"/>
          <w:szCs w:val="28"/>
        </w:rPr>
        <w:t>впровадження механізмів публічних консультацій;</w:t>
      </w:r>
    </w:p>
    <w:p w14:paraId="4D0E3CF6" w14:textId="77777777" w:rsidR="00BB75D0" w:rsidRDefault="004218D1" w:rsidP="00255CC0">
      <w:pPr>
        <w:numPr>
          <w:ilvl w:val="0"/>
          <w:numId w:val="1"/>
        </w:numPr>
        <w:spacing w:line="240" w:lineRule="auto"/>
        <w:ind w:left="-2" w:firstLineChars="0" w:firstLine="720"/>
        <w:jc w:val="both"/>
        <w:rPr>
          <w:sz w:val="28"/>
          <w:szCs w:val="28"/>
        </w:rPr>
      </w:pPr>
      <w:r>
        <w:rPr>
          <w:sz w:val="28"/>
          <w:szCs w:val="28"/>
        </w:rPr>
        <w:t>розвиток громадянської освіти для підвищення участі молоді у міських політиках;</w:t>
      </w:r>
    </w:p>
    <w:p w14:paraId="36458F32" w14:textId="77777777" w:rsidR="00BB75D0" w:rsidRDefault="004218D1" w:rsidP="00255CC0">
      <w:pPr>
        <w:numPr>
          <w:ilvl w:val="0"/>
          <w:numId w:val="1"/>
        </w:numPr>
        <w:spacing w:line="240" w:lineRule="auto"/>
        <w:ind w:left="-2" w:firstLineChars="0" w:firstLine="720"/>
        <w:jc w:val="both"/>
        <w:rPr>
          <w:sz w:val="28"/>
          <w:szCs w:val="28"/>
        </w:rPr>
      </w:pPr>
      <w:r>
        <w:rPr>
          <w:sz w:val="28"/>
          <w:szCs w:val="28"/>
        </w:rPr>
        <w:t>розширення мережі громадських просторів «Vcentri HUB», що слугують платформами для діалогу «влада-громада».</w:t>
      </w:r>
    </w:p>
    <w:p w14:paraId="2593453C" w14:textId="77777777" w:rsidR="00BB75D0" w:rsidRDefault="004218D1" w:rsidP="00255CC0">
      <w:pPr>
        <w:spacing w:line="240" w:lineRule="auto"/>
        <w:ind w:left="-2" w:firstLineChars="0" w:firstLine="720"/>
        <w:jc w:val="both"/>
        <w:rPr>
          <w:sz w:val="28"/>
          <w:szCs w:val="28"/>
        </w:rPr>
      </w:pPr>
      <w:r>
        <w:rPr>
          <w:sz w:val="28"/>
          <w:szCs w:val="28"/>
        </w:rPr>
        <w:t>Реалізація Плану дій дозволить підвищити прозорість управління та ефективність прийняття рішень; зміцнити довіру до місцевої влади; створити умови для активної участі громадян у житті міста; покращити міжнародний імідж Києва як відкритого європейського міста.</w:t>
      </w:r>
    </w:p>
    <w:p w14:paraId="1DD3E0FF" w14:textId="77777777" w:rsidR="00BB75D0" w:rsidRDefault="004218D1" w:rsidP="00255CC0">
      <w:pPr>
        <w:pBdr>
          <w:top w:val="nil"/>
          <w:left w:val="nil"/>
          <w:bottom w:val="nil"/>
          <w:right w:val="nil"/>
          <w:between w:val="nil"/>
        </w:pBdr>
        <w:spacing w:line="240" w:lineRule="auto"/>
        <w:ind w:left="-2" w:firstLineChars="0" w:firstLine="720"/>
        <w:jc w:val="both"/>
        <w:rPr>
          <w:sz w:val="28"/>
          <w:szCs w:val="28"/>
        </w:rPr>
      </w:pPr>
      <w:r>
        <w:rPr>
          <w:sz w:val="28"/>
          <w:szCs w:val="28"/>
        </w:rPr>
        <w:tab/>
      </w:r>
    </w:p>
    <w:p w14:paraId="646B5413" w14:textId="77777777" w:rsidR="00BB75D0" w:rsidRDefault="004218D1" w:rsidP="00255CC0">
      <w:pPr>
        <w:pBdr>
          <w:top w:val="nil"/>
          <w:left w:val="nil"/>
          <w:bottom w:val="nil"/>
          <w:right w:val="nil"/>
          <w:between w:val="nil"/>
        </w:pBdr>
        <w:spacing w:line="240" w:lineRule="auto"/>
        <w:ind w:left="-2" w:firstLineChars="0" w:firstLine="720"/>
        <w:jc w:val="both"/>
        <w:rPr>
          <w:sz w:val="28"/>
          <w:szCs w:val="28"/>
        </w:rPr>
      </w:pPr>
      <w:r>
        <w:rPr>
          <w:b/>
          <w:color w:val="000000"/>
          <w:sz w:val="28"/>
          <w:szCs w:val="28"/>
        </w:rPr>
        <w:t>2. Правове обґрунтування необхідності прийняття рішення.</w:t>
      </w:r>
    </w:p>
    <w:p w14:paraId="04855B03" w14:textId="1ADED383" w:rsidR="00BB75D0" w:rsidRDefault="004218D1" w:rsidP="00255CC0">
      <w:pPr>
        <w:pBdr>
          <w:top w:val="nil"/>
          <w:left w:val="nil"/>
          <w:bottom w:val="nil"/>
          <w:right w:val="nil"/>
          <w:between w:val="nil"/>
        </w:pBdr>
        <w:spacing w:line="240" w:lineRule="auto"/>
        <w:ind w:left="-2" w:firstLineChars="0" w:firstLine="720"/>
        <w:jc w:val="both"/>
        <w:rPr>
          <w:sz w:val="28"/>
          <w:szCs w:val="28"/>
        </w:rPr>
      </w:pPr>
      <w:r>
        <w:rPr>
          <w:sz w:val="28"/>
          <w:szCs w:val="28"/>
        </w:rPr>
        <w:t xml:space="preserve">Правове обґрунтування прийняття рішення ґрунтується на Конституції України, яка гарантує прозорість і підзвітність органів влади, Законі України «Про місцеве самоврядування в Україні», що зобов'язує місцеву владу </w:t>
      </w:r>
      <w:r>
        <w:rPr>
          <w:sz w:val="28"/>
          <w:szCs w:val="28"/>
        </w:rPr>
        <w:lastRenderedPageBreak/>
        <w:t>затверджувати програми розвитку громади, та Законі України «Про доступ до публічної інформації», який забезпечує відкритість даних. Рішення також відповідає міжнародним зобов'язанням України в межах Ініціативи OGP Local і національним стандартам відкритого врядування, закріпленим постановами Кабінету Міністрів України.</w:t>
      </w:r>
    </w:p>
    <w:p w14:paraId="0B012A1B" w14:textId="77777777" w:rsidR="00BB75D0" w:rsidRDefault="00BB75D0" w:rsidP="00255CC0">
      <w:pPr>
        <w:pBdr>
          <w:top w:val="nil"/>
          <w:left w:val="nil"/>
          <w:bottom w:val="nil"/>
          <w:right w:val="nil"/>
          <w:between w:val="nil"/>
        </w:pBdr>
        <w:spacing w:line="240" w:lineRule="auto"/>
        <w:ind w:left="-2" w:firstLineChars="0" w:firstLine="720"/>
        <w:jc w:val="both"/>
        <w:rPr>
          <w:sz w:val="28"/>
          <w:szCs w:val="28"/>
        </w:rPr>
      </w:pPr>
    </w:p>
    <w:p w14:paraId="46B90122" w14:textId="77777777" w:rsidR="00BB75D0" w:rsidRDefault="004218D1" w:rsidP="00255CC0">
      <w:pPr>
        <w:pBdr>
          <w:top w:val="nil"/>
          <w:left w:val="nil"/>
          <w:bottom w:val="nil"/>
          <w:right w:val="nil"/>
          <w:between w:val="nil"/>
        </w:pBdr>
        <w:spacing w:line="240" w:lineRule="auto"/>
        <w:ind w:left="-2" w:firstLineChars="0" w:firstLine="720"/>
        <w:jc w:val="both"/>
        <w:rPr>
          <w:b/>
          <w:sz w:val="28"/>
          <w:szCs w:val="28"/>
        </w:rPr>
      </w:pPr>
      <w:r>
        <w:rPr>
          <w:b/>
          <w:sz w:val="28"/>
          <w:szCs w:val="28"/>
        </w:rPr>
        <w:tab/>
        <w:t>3. Опис цілей і завдань, основних положень проєкту рішення, а також очікуваних соціально-економічних, правових та інших наслідків для територіальної громади міст Києва від прийняття запропонованого проєкту рішення.</w:t>
      </w:r>
    </w:p>
    <w:p w14:paraId="426D5F73" w14:textId="5F5D951A" w:rsidR="00BB75D0" w:rsidRDefault="004218D1" w:rsidP="00255CC0">
      <w:pPr>
        <w:pBdr>
          <w:top w:val="nil"/>
          <w:left w:val="nil"/>
          <w:bottom w:val="nil"/>
          <w:right w:val="nil"/>
          <w:between w:val="nil"/>
        </w:pBdr>
        <w:spacing w:line="240" w:lineRule="auto"/>
        <w:ind w:left="-2" w:firstLineChars="0" w:firstLine="720"/>
        <w:jc w:val="both"/>
        <w:rPr>
          <w:sz w:val="28"/>
          <w:szCs w:val="28"/>
        </w:rPr>
      </w:pPr>
      <w:r>
        <w:rPr>
          <w:sz w:val="28"/>
          <w:szCs w:val="28"/>
        </w:rPr>
        <w:t xml:space="preserve">Проєкт рішення «Про затвердження </w:t>
      </w:r>
      <w:r w:rsidR="00C73E66">
        <w:rPr>
          <w:sz w:val="28"/>
          <w:szCs w:val="28"/>
        </w:rPr>
        <w:t>п</w:t>
      </w:r>
      <w:r>
        <w:rPr>
          <w:sz w:val="28"/>
          <w:szCs w:val="28"/>
        </w:rPr>
        <w:t>лану дій із впровадження у місті Києві Ініціативи «Партнерство «Відкритий Уряд» на 2025 - 2026 роки» має на меті розв’язання актуальних проблем у взаємодії між громадою та місцевою владою, а також забезпечення прозорості, підзвітності й інклюзивності міського врядування. Основною ціллю цього рішення є впровадження принципів відкритого врядування на рівні столиці України, що відповідає міжнародним стандартам і зобов’язанням України в рамках Ініціативи OGP Local.</w:t>
      </w:r>
    </w:p>
    <w:p w14:paraId="78F3A068" w14:textId="77777777" w:rsidR="00BB75D0" w:rsidRDefault="004218D1" w:rsidP="00255CC0">
      <w:pPr>
        <w:pBdr>
          <w:top w:val="nil"/>
          <w:left w:val="nil"/>
          <w:bottom w:val="nil"/>
          <w:right w:val="nil"/>
          <w:between w:val="nil"/>
        </w:pBdr>
        <w:spacing w:line="240" w:lineRule="auto"/>
        <w:ind w:left="-2" w:firstLineChars="0" w:firstLine="720"/>
        <w:jc w:val="both"/>
        <w:rPr>
          <w:sz w:val="28"/>
          <w:szCs w:val="28"/>
        </w:rPr>
      </w:pPr>
      <w:r>
        <w:rPr>
          <w:sz w:val="28"/>
          <w:szCs w:val="28"/>
        </w:rPr>
        <w:t>План дій передбачає кілька ключових завдань, а саме: підвищення рівня залучення громадян до ухвалення рішень через використання сучасних цифрових інструментів, таких як платформи публічних консультацій, бюджети участі та відкриті дані; розвиток громадських просторів «Vcentri HUB», які будуть ставати центрами для діалогу між громадянами та владою, а також сприятимуть активізації громадянського суспільства в усіх районах міста Києва; створення освітніх ініціатив для молоді, спрямованих на підвищення громадянської активності та залучення до міських політик.</w:t>
      </w:r>
    </w:p>
    <w:p w14:paraId="355DA99F" w14:textId="77777777" w:rsidR="00BB75D0" w:rsidRDefault="004218D1" w:rsidP="00255CC0">
      <w:pPr>
        <w:pBdr>
          <w:top w:val="nil"/>
          <w:left w:val="nil"/>
          <w:bottom w:val="nil"/>
          <w:right w:val="nil"/>
          <w:between w:val="nil"/>
        </w:pBdr>
        <w:spacing w:line="240" w:lineRule="auto"/>
        <w:ind w:left="-2" w:firstLineChars="0" w:firstLine="720"/>
        <w:jc w:val="both"/>
        <w:rPr>
          <w:sz w:val="28"/>
          <w:szCs w:val="28"/>
        </w:rPr>
      </w:pPr>
      <w:r>
        <w:rPr>
          <w:sz w:val="28"/>
          <w:szCs w:val="28"/>
        </w:rPr>
        <w:t>Очікувані наслідки від впровадження рішення багатогранні. У соціально-економічному контексті це сприятиме створенню належних умов для розвитку громадянського суспільства, посилення довіри між громадянами та місцевою владою, а також підвищенню ефективності використання міських ресурсів. У правовому аспекті це рішення забезпечить ухвалення нормативно-правових актів, які регулюватимуть нові механізми взаємодії з громадянами, зокрема публічні консультації. Такі зміни закладуть правові основи для прозорого та інклюзивного врядування.</w:t>
      </w:r>
    </w:p>
    <w:p w14:paraId="65410BB5" w14:textId="35B24A6A" w:rsidR="00BB75D0" w:rsidRDefault="004218D1" w:rsidP="00255CC0">
      <w:pPr>
        <w:pBdr>
          <w:top w:val="nil"/>
          <w:left w:val="nil"/>
          <w:bottom w:val="nil"/>
          <w:right w:val="nil"/>
          <w:between w:val="nil"/>
        </w:pBdr>
        <w:spacing w:line="240" w:lineRule="auto"/>
        <w:ind w:left="-2" w:firstLineChars="0" w:firstLine="720"/>
        <w:jc w:val="both"/>
        <w:rPr>
          <w:color w:val="000000"/>
          <w:sz w:val="28"/>
          <w:szCs w:val="28"/>
        </w:rPr>
      </w:pPr>
      <w:r>
        <w:rPr>
          <w:sz w:val="28"/>
          <w:szCs w:val="28"/>
        </w:rPr>
        <w:t xml:space="preserve">Впровадження </w:t>
      </w:r>
      <w:r w:rsidR="00255CC0">
        <w:rPr>
          <w:sz w:val="28"/>
          <w:szCs w:val="28"/>
        </w:rPr>
        <w:t>П</w:t>
      </w:r>
      <w:r>
        <w:rPr>
          <w:sz w:val="28"/>
          <w:szCs w:val="28"/>
        </w:rPr>
        <w:t>лану</w:t>
      </w:r>
      <w:r w:rsidR="00255CC0">
        <w:rPr>
          <w:sz w:val="28"/>
          <w:szCs w:val="28"/>
        </w:rPr>
        <w:t xml:space="preserve"> дій</w:t>
      </w:r>
      <w:r>
        <w:rPr>
          <w:sz w:val="28"/>
          <w:szCs w:val="28"/>
        </w:rPr>
        <w:t xml:space="preserve"> також матиме міжнародне значення, зміцнюючи позиції </w:t>
      </w:r>
      <w:r w:rsidR="00255CC0">
        <w:rPr>
          <w:sz w:val="28"/>
          <w:szCs w:val="28"/>
        </w:rPr>
        <w:t xml:space="preserve">міста </w:t>
      </w:r>
      <w:r>
        <w:rPr>
          <w:sz w:val="28"/>
          <w:szCs w:val="28"/>
        </w:rPr>
        <w:t>Києва як прозорої, відкритої та сучасної європейської столиці. Це сприятиме залученню міжнародних інвестицій, зміцненню співпраці з міжнародними партнерами та підвищенню репутації міста на глобальній арені. У підсумку, проєкт рішення сприятиме сталому розвитку міста, створюючи комфортне середовище для мешканців і стимулюючи інновації у сфері місцевого врядування.</w:t>
      </w:r>
    </w:p>
    <w:p w14:paraId="42B53FFC" w14:textId="77777777" w:rsidR="00C718D4" w:rsidRDefault="00C718D4" w:rsidP="00255CC0">
      <w:pPr>
        <w:pBdr>
          <w:top w:val="nil"/>
          <w:left w:val="nil"/>
          <w:bottom w:val="nil"/>
          <w:right w:val="nil"/>
          <w:between w:val="nil"/>
        </w:pBdr>
        <w:spacing w:line="240" w:lineRule="auto"/>
        <w:ind w:left="-2" w:firstLineChars="0" w:firstLine="720"/>
        <w:jc w:val="both"/>
        <w:rPr>
          <w:sz w:val="28"/>
          <w:szCs w:val="28"/>
        </w:rPr>
      </w:pPr>
    </w:p>
    <w:p w14:paraId="223FCBD9" w14:textId="77777777" w:rsidR="00BB75D0" w:rsidRDefault="004218D1" w:rsidP="00255CC0">
      <w:pPr>
        <w:pBdr>
          <w:top w:val="nil"/>
          <w:left w:val="nil"/>
          <w:bottom w:val="nil"/>
          <w:right w:val="nil"/>
          <w:between w:val="nil"/>
        </w:pBdr>
        <w:spacing w:line="240" w:lineRule="auto"/>
        <w:ind w:left="-2" w:firstLineChars="0" w:firstLine="720"/>
        <w:jc w:val="both"/>
        <w:rPr>
          <w:b/>
          <w:sz w:val="28"/>
          <w:szCs w:val="28"/>
        </w:rPr>
      </w:pPr>
      <w:r>
        <w:rPr>
          <w:b/>
          <w:sz w:val="28"/>
          <w:szCs w:val="28"/>
        </w:rPr>
        <w:t>4. Права і соціальна захищеність осіб з інвалідністю.</w:t>
      </w:r>
    </w:p>
    <w:p w14:paraId="047C15F5" w14:textId="77777777" w:rsidR="00BB75D0" w:rsidRDefault="004218D1" w:rsidP="00255CC0">
      <w:pPr>
        <w:spacing w:line="240" w:lineRule="auto"/>
        <w:ind w:left="-2" w:firstLineChars="0" w:firstLine="720"/>
        <w:jc w:val="both"/>
        <w:rPr>
          <w:color w:val="000000"/>
          <w:sz w:val="28"/>
          <w:szCs w:val="28"/>
        </w:rPr>
      </w:pPr>
      <w:r>
        <w:rPr>
          <w:sz w:val="28"/>
          <w:szCs w:val="28"/>
        </w:rPr>
        <w:t>Проєкт рішення не стосується прав і соціальної захищеності осіб з інвалідністю та не матиме впливу на життєдіяльність цієї категорії.</w:t>
      </w:r>
    </w:p>
    <w:p w14:paraId="27630E7B" w14:textId="77777777" w:rsidR="00BB75D0" w:rsidRDefault="00BB75D0" w:rsidP="00255CC0">
      <w:pPr>
        <w:spacing w:line="240" w:lineRule="auto"/>
        <w:ind w:left="-2" w:firstLineChars="0" w:firstLine="720"/>
        <w:jc w:val="both"/>
        <w:rPr>
          <w:color w:val="000000"/>
          <w:sz w:val="28"/>
          <w:szCs w:val="28"/>
        </w:rPr>
      </w:pPr>
    </w:p>
    <w:p w14:paraId="1E2F3A2F" w14:textId="77777777" w:rsidR="00BB75D0" w:rsidRDefault="004218D1" w:rsidP="00255CC0">
      <w:pPr>
        <w:pBdr>
          <w:top w:val="nil"/>
          <w:left w:val="nil"/>
          <w:bottom w:val="nil"/>
          <w:right w:val="nil"/>
          <w:between w:val="nil"/>
        </w:pBdr>
        <w:spacing w:line="240" w:lineRule="auto"/>
        <w:ind w:left="-2" w:firstLineChars="0" w:firstLine="720"/>
        <w:jc w:val="both"/>
        <w:rPr>
          <w:b/>
          <w:color w:val="000000"/>
          <w:sz w:val="28"/>
          <w:szCs w:val="28"/>
        </w:rPr>
      </w:pPr>
      <w:r>
        <w:rPr>
          <w:b/>
          <w:color w:val="000000"/>
          <w:sz w:val="28"/>
          <w:szCs w:val="28"/>
        </w:rPr>
        <w:lastRenderedPageBreak/>
        <w:t>5. Фінансово-економічне обґрунтування та пропозиції щодо джерел покриття цих витрат.</w:t>
      </w:r>
    </w:p>
    <w:p w14:paraId="14D7EB14" w14:textId="77777777" w:rsidR="00BB75D0" w:rsidRDefault="004218D1" w:rsidP="00255CC0">
      <w:pPr>
        <w:ind w:left="-2" w:firstLineChars="0" w:firstLine="720"/>
        <w:jc w:val="both"/>
        <w:rPr>
          <w:sz w:val="28"/>
          <w:szCs w:val="28"/>
        </w:rPr>
      </w:pPr>
      <w:r>
        <w:rPr>
          <w:sz w:val="28"/>
          <w:szCs w:val="28"/>
        </w:rPr>
        <w:tab/>
        <w:t>Реалізація даного проєкту рішення не потребує додаткових матеріальних та інших витрат з бюджету міста Києва.</w:t>
      </w:r>
    </w:p>
    <w:p w14:paraId="3A62151D" w14:textId="77777777" w:rsidR="00BB75D0" w:rsidRPr="009E7BE5" w:rsidRDefault="004218D1" w:rsidP="00255CC0">
      <w:pPr>
        <w:ind w:left="-2" w:firstLineChars="0" w:firstLine="720"/>
        <w:jc w:val="both"/>
        <w:rPr>
          <w:bCs/>
          <w:sz w:val="28"/>
          <w:szCs w:val="28"/>
        </w:rPr>
      </w:pPr>
      <w:r>
        <w:rPr>
          <w:b/>
          <w:sz w:val="28"/>
          <w:szCs w:val="28"/>
        </w:rPr>
        <w:tab/>
      </w:r>
    </w:p>
    <w:p w14:paraId="5FD0D1E0" w14:textId="77777777" w:rsidR="00BB75D0" w:rsidRDefault="004218D1" w:rsidP="00255CC0">
      <w:pPr>
        <w:ind w:left="-2" w:firstLineChars="0" w:firstLine="720"/>
        <w:jc w:val="both"/>
        <w:rPr>
          <w:b/>
          <w:sz w:val="28"/>
          <w:szCs w:val="28"/>
        </w:rPr>
      </w:pPr>
      <w:r>
        <w:rPr>
          <w:sz w:val="28"/>
          <w:szCs w:val="28"/>
        </w:rPr>
        <w:tab/>
      </w:r>
      <w:r>
        <w:rPr>
          <w:b/>
          <w:sz w:val="28"/>
          <w:szCs w:val="28"/>
        </w:rPr>
        <w:t>6. Відповідність проєкту рішення до Закону України «Про доступ до публічної інформації».</w:t>
      </w:r>
    </w:p>
    <w:p w14:paraId="69105E22" w14:textId="77777777" w:rsidR="00BB75D0" w:rsidRDefault="004218D1" w:rsidP="00255CC0">
      <w:pPr>
        <w:ind w:left="-2" w:firstLineChars="0" w:firstLine="720"/>
        <w:jc w:val="both"/>
        <w:rPr>
          <w:sz w:val="28"/>
          <w:szCs w:val="28"/>
        </w:rPr>
      </w:pPr>
      <w:r>
        <w:rPr>
          <w:sz w:val="28"/>
          <w:szCs w:val="28"/>
        </w:rPr>
        <w:tab/>
        <w:t>Проєкт рішення не містить інформацію з обмеженим доступом у розумінні статті 6 Закону України «Про доступ до публічної інформації».</w:t>
      </w:r>
    </w:p>
    <w:p w14:paraId="33F81D70" w14:textId="77777777" w:rsidR="00BB75D0" w:rsidRDefault="00BB75D0" w:rsidP="00255CC0">
      <w:pPr>
        <w:ind w:left="-2" w:firstLineChars="0" w:firstLine="720"/>
        <w:jc w:val="both"/>
        <w:rPr>
          <w:sz w:val="28"/>
          <w:szCs w:val="28"/>
        </w:rPr>
      </w:pPr>
    </w:p>
    <w:p w14:paraId="508E186B" w14:textId="77777777" w:rsidR="00BB75D0" w:rsidRDefault="004218D1" w:rsidP="00255CC0">
      <w:pPr>
        <w:ind w:left="-2" w:firstLineChars="0" w:firstLine="720"/>
        <w:jc w:val="both"/>
        <w:rPr>
          <w:b/>
          <w:sz w:val="28"/>
          <w:szCs w:val="28"/>
        </w:rPr>
      </w:pPr>
      <w:r>
        <w:rPr>
          <w:sz w:val="28"/>
          <w:szCs w:val="28"/>
        </w:rPr>
        <w:tab/>
      </w:r>
      <w:r>
        <w:rPr>
          <w:b/>
          <w:sz w:val="28"/>
          <w:szCs w:val="28"/>
        </w:rPr>
        <w:t>7. Відповідність проєкту рішення до законів України «Про інформацію» та «Про захист персональних даних».</w:t>
      </w:r>
    </w:p>
    <w:p w14:paraId="764BACB1" w14:textId="77777777" w:rsidR="00BB75D0" w:rsidRDefault="004218D1" w:rsidP="00255CC0">
      <w:pPr>
        <w:ind w:left="-2" w:firstLineChars="0" w:firstLine="720"/>
        <w:jc w:val="both"/>
        <w:rPr>
          <w:sz w:val="28"/>
          <w:szCs w:val="28"/>
        </w:rPr>
      </w:pPr>
      <w:r>
        <w:rPr>
          <w:sz w:val="28"/>
          <w:szCs w:val="28"/>
        </w:rPr>
        <w:tab/>
        <w:t xml:space="preserve">Проєкт рішення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 </w:t>
      </w:r>
    </w:p>
    <w:p w14:paraId="502CEAC0" w14:textId="77777777" w:rsidR="00BB75D0" w:rsidRDefault="00BB75D0" w:rsidP="00255CC0">
      <w:pPr>
        <w:pBdr>
          <w:top w:val="nil"/>
          <w:left w:val="nil"/>
          <w:bottom w:val="nil"/>
          <w:right w:val="nil"/>
          <w:between w:val="nil"/>
        </w:pBdr>
        <w:spacing w:line="240" w:lineRule="auto"/>
        <w:ind w:left="-2" w:firstLineChars="0" w:firstLine="720"/>
        <w:jc w:val="both"/>
        <w:rPr>
          <w:b/>
          <w:color w:val="000000"/>
          <w:sz w:val="28"/>
          <w:szCs w:val="28"/>
        </w:rPr>
      </w:pPr>
    </w:p>
    <w:p w14:paraId="6636A9AE" w14:textId="77777777" w:rsidR="00BB75D0" w:rsidRDefault="004218D1" w:rsidP="00255CC0">
      <w:pPr>
        <w:pBdr>
          <w:top w:val="nil"/>
          <w:left w:val="nil"/>
          <w:bottom w:val="nil"/>
          <w:right w:val="nil"/>
          <w:between w:val="nil"/>
        </w:pBdr>
        <w:spacing w:line="240" w:lineRule="auto"/>
        <w:ind w:left="-2" w:firstLineChars="0" w:firstLine="720"/>
        <w:jc w:val="both"/>
        <w:rPr>
          <w:b/>
          <w:color w:val="000000"/>
          <w:sz w:val="28"/>
          <w:szCs w:val="28"/>
        </w:rPr>
      </w:pPr>
      <w:r>
        <w:rPr>
          <w:b/>
          <w:sz w:val="28"/>
          <w:szCs w:val="28"/>
        </w:rPr>
        <w:t>8</w:t>
      </w:r>
      <w:r>
        <w:rPr>
          <w:b/>
          <w:color w:val="000000"/>
          <w:sz w:val="28"/>
          <w:szCs w:val="28"/>
        </w:rPr>
        <w:t>. Прізвище або назва суб’єкта подання, прізвище, посада, контактні дані доповідача рішення на пленарному засіданні та особи, відповідальної за супроводження проєкту рішення.</w:t>
      </w:r>
    </w:p>
    <w:p w14:paraId="5A18618F" w14:textId="49F3F0E1" w:rsidR="00BB75D0" w:rsidRDefault="004218D1" w:rsidP="00255CC0">
      <w:pPr>
        <w:pBdr>
          <w:top w:val="nil"/>
          <w:left w:val="nil"/>
          <w:bottom w:val="nil"/>
          <w:right w:val="nil"/>
          <w:between w:val="nil"/>
        </w:pBdr>
        <w:spacing w:line="240" w:lineRule="auto"/>
        <w:ind w:left="-2" w:firstLineChars="0" w:firstLine="720"/>
        <w:jc w:val="both"/>
        <w:rPr>
          <w:color w:val="000000"/>
          <w:sz w:val="28"/>
          <w:szCs w:val="28"/>
        </w:rPr>
      </w:pPr>
      <w:bookmarkStart w:id="0" w:name="_heading=h.gjdgxs" w:colFirst="0" w:colLast="0"/>
      <w:bookmarkEnd w:id="0"/>
      <w:r>
        <w:rPr>
          <w:color w:val="000000"/>
          <w:sz w:val="28"/>
          <w:szCs w:val="28"/>
        </w:rPr>
        <w:tab/>
        <w:t xml:space="preserve">Суб’єктом подання даного проєкту рішення є </w:t>
      </w:r>
      <w:r w:rsidR="00B3671E">
        <w:rPr>
          <w:sz w:val="28"/>
          <w:szCs w:val="28"/>
        </w:rPr>
        <w:t>депутати Київської міської ради Смірнова Мирослава Михайлівна, Муха Вікторія Вячеславівна, Ярмоленко Юлія Олександрівна</w:t>
      </w:r>
      <w:r>
        <w:rPr>
          <w:color w:val="000000"/>
          <w:sz w:val="28"/>
          <w:szCs w:val="28"/>
        </w:rPr>
        <w:t>.</w:t>
      </w:r>
    </w:p>
    <w:p w14:paraId="7463939F" w14:textId="2975820A" w:rsidR="00BB75D0" w:rsidRDefault="004218D1" w:rsidP="00255CC0">
      <w:pPr>
        <w:pBdr>
          <w:top w:val="nil"/>
          <w:left w:val="nil"/>
          <w:bottom w:val="nil"/>
          <w:right w:val="nil"/>
          <w:between w:val="nil"/>
        </w:pBdr>
        <w:spacing w:line="240" w:lineRule="auto"/>
        <w:ind w:left="-2" w:firstLineChars="0" w:firstLine="720"/>
        <w:jc w:val="both"/>
        <w:rPr>
          <w:sz w:val="28"/>
          <w:szCs w:val="28"/>
        </w:rPr>
      </w:pPr>
      <w:r>
        <w:rPr>
          <w:color w:val="000000"/>
          <w:sz w:val="28"/>
          <w:szCs w:val="28"/>
        </w:rPr>
        <w:t xml:space="preserve">Відповідальним за представлення та супроводження проєкту рішення на всіх стадіях розгляду </w:t>
      </w:r>
      <w:r>
        <w:rPr>
          <w:sz w:val="28"/>
          <w:szCs w:val="28"/>
        </w:rPr>
        <w:t xml:space="preserve">є </w:t>
      </w:r>
      <w:r w:rsidR="00B3671E">
        <w:rPr>
          <w:sz w:val="28"/>
          <w:szCs w:val="28"/>
        </w:rPr>
        <w:t>депутат</w:t>
      </w:r>
      <w:r>
        <w:rPr>
          <w:sz w:val="28"/>
          <w:szCs w:val="28"/>
        </w:rPr>
        <w:t xml:space="preserve"> Київської міської ради Смірнова Мирослава Михайлівна.</w:t>
      </w:r>
    </w:p>
    <w:p w14:paraId="5CF1B43C" w14:textId="498470AC" w:rsidR="00142269" w:rsidRDefault="00142269" w:rsidP="00255CC0">
      <w:pPr>
        <w:pBdr>
          <w:top w:val="nil"/>
          <w:left w:val="nil"/>
          <w:bottom w:val="nil"/>
          <w:right w:val="nil"/>
          <w:between w:val="nil"/>
        </w:pBdr>
        <w:spacing w:line="240" w:lineRule="auto"/>
        <w:ind w:left="-2" w:firstLineChars="0" w:firstLine="720"/>
        <w:jc w:val="both"/>
        <w:rPr>
          <w:color w:val="000000"/>
          <w:sz w:val="28"/>
          <w:szCs w:val="28"/>
        </w:rPr>
      </w:pPr>
      <w:r>
        <w:rPr>
          <w:sz w:val="28"/>
          <w:szCs w:val="28"/>
        </w:rPr>
        <w:t>Доповідач на пленарному засіданні депутат Київської міської ради Смірнова Мирослава Михайлівна.</w:t>
      </w:r>
    </w:p>
    <w:p w14:paraId="2B233173" w14:textId="2F1059F5" w:rsidR="00BB75D0" w:rsidRDefault="00BB75D0">
      <w:pPr>
        <w:pBdr>
          <w:top w:val="nil"/>
          <w:left w:val="nil"/>
          <w:bottom w:val="nil"/>
          <w:right w:val="nil"/>
          <w:between w:val="nil"/>
        </w:pBdr>
        <w:spacing w:line="240" w:lineRule="auto"/>
        <w:ind w:left="1" w:hanging="3"/>
        <w:jc w:val="both"/>
        <w:rPr>
          <w:color w:val="000000"/>
          <w:sz w:val="28"/>
          <w:szCs w:val="28"/>
        </w:rPr>
      </w:pPr>
    </w:p>
    <w:p w14:paraId="2157E459" w14:textId="77777777" w:rsidR="002E765B" w:rsidRDefault="002E765B">
      <w:pPr>
        <w:pBdr>
          <w:top w:val="nil"/>
          <w:left w:val="nil"/>
          <w:bottom w:val="nil"/>
          <w:right w:val="nil"/>
          <w:between w:val="nil"/>
        </w:pBdr>
        <w:spacing w:line="240" w:lineRule="auto"/>
        <w:ind w:left="1" w:hanging="3"/>
        <w:jc w:val="both"/>
        <w:rPr>
          <w:color w:val="000000"/>
          <w:sz w:val="28"/>
          <w:szCs w:val="28"/>
        </w:rPr>
      </w:pPr>
    </w:p>
    <w:p w14:paraId="2F3A8ED3" w14:textId="77777777" w:rsidR="002E765B" w:rsidRPr="002E765B" w:rsidRDefault="002E765B" w:rsidP="002E765B">
      <w:pPr>
        <w:suppressAutoHyphens w:val="0"/>
        <w:spacing w:before="240" w:line="240" w:lineRule="auto"/>
        <w:ind w:leftChars="0" w:left="0" w:right="-284" w:firstLineChars="0" w:firstLine="0"/>
        <w:jc w:val="both"/>
        <w:textDirection w:val="lrTb"/>
        <w:textAlignment w:val="auto"/>
        <w:outlineLvl w:val="9"/>
        <w:rPr>
          <w:position w:val="0"/>
          <w:sz w:val="28"/>
          <w:szCs w:val="28"/>
          <w:lang w:eastAsia="ru-RU"/>
        </w:rPr>
      </w:pPr>
      <w:bookmarkStart w:id="1" w:name="_Hlk188347835"/>
      <w:r w:rsidRPr="002E765B">
        <w:rPr>
          <w:position w:val="0"/>
          <w:sz w:val="28"/>
          <w:szCs w:val="28"/>
          <w:lang w:eastAsia="ru-RU"/>
        </w:rPr>
        <w:t>Депутат Київської міської ради</w:t>
      </w:r>
      <w:r w:rsidRPr="002E765B">
        <w:rPr>
          <w:position w:val="0"/>
          <w:sz w:val="28"/>
          <w:szCs w:val="28"/>
          <w:lang w:eastAsia="ru-RU"/>
        </w:rPr>
        <w:tab/>
      </w:r>
      <w:r w:rsidRPr="002E765B">
        <w:rPr>
          <w:position w:val="0"/>
          <w:sz w:val="28"/>
          <w:szCs w:val="28"/>
          <w:lang w:eastAsia="ru-RU"/>
        </w:rPr>
        <w:tab/>
      </w:r>
      <w:r w:rsidRPr="002E765B">
        <w:rPr>
          <w:position w:val="0"/>
          <w:sz w:val="28"/>
          <w:szCs w:val="28"/>
          <w:lang w:eastAsia="ru-RU"/>
        </w:rPr>
        <w:tab/>
      </w:r>
      <w:r w:rsidRPr="002E765B">
        <w:rPr>
          <w:position w:val="0"/>
          <w:sz w:val="28"/>
          <w:szCs w:val="28"/>
          <w:lang w:eastAsia="ru-RU"/>
        </w:rPr>
        <w:tab/>
      </w:r>
      <w:bookmarkEnd w:id="1"/>
      <w:r w:rsidRPr="002E765B">
        <w:rPr>
          <w:position w:val="0"/>
          <w:sz w:val="28"/>
          <w:szCs w:val="28"/>
          <w:lang w:eastAsia="ru-RU"/>
        </w:rPr>
        <w:t xml:space="preserve"> Мирослава СМІРНОВА</w:t>
      </w:r>
    </w:p>
    <w:p w14:paraId="74860E7E" w14:textId="77777777" w:rsidR="002E765B" w:rsidRPr="002E765B" w:rsidRDefault="002E765B" w:rsidP="002E765B">
      <w:pPr>
        <w:suppressAutoHyphens w:val="0"/>
        <w:spacing w:before="360" w:line="240" w:lineRule="auto"/>
        <w:ind w:leftChars="0" w:left="0" w:right="-284" w:firstLineChars="0" w:firstLine="0"/>
        <w:jc w:val="both"/>
        <w:textDirection w:val="lrTb"/>
        <w:textAlignment w:val="auto"/>
        <w:outlineLvl w:val="9"/>
        <w:rPr>
          <w:position w:val="0"/>
          <w:sz w:val="28"/>
          <w:szCs w:val="28"/>
          <w:lang w:eastAsia="ru-RU"/>
        </w:rPr>
      </w:pPr>
      <w:r w:rsidRPr="002E765B">
        <w:rPr>
          <w:position w:val="0"/>
          <w:sz w:val="28"/>
          <w:szCs w:val="28"/>
          <w:lang w:eastAsia="ru-RU"/>
        </w:rPr>
        <w:t>Депутат Київської міської ради</w:t>
      </w:r>
      <w:r w:rsidRPr="002E765B">
        <w:rPr>
          <w:position w:val="0"/>
          <w:sz w:val="28"/>
          <w:szCs w:val="28"/>
          <w:lang w:eastAsia="ru-RU"/>
        </w:rPr>
        <w:tab/>
      </w:r>
      <w:r w:rsidRPr="002E765B">
        <w:rPr>
          <w:position w:val="0"/>
          <w:sz w:val="28"/>
          <w:szCs w:val="28"/>
          <w:lang w:eastAsia="ru-RU"/>
        </w:rPr>
        <w:tab/>
      </w:r>
      <w:r w:rsidRPr="002E765B">
        <w:rPr>
          <w:position w:val="0"/>
          <w:sz w:val="28"/>
          <w:szCs w:val="28"/>
          <w:lang w:eastAsia="ru-RU"/>
        </w:rPr>
        <w:tab/>
      </w:r>
      <w:r w:rsidRPr="002E765B">
        <w:rPr>
          <w:position w:val="0"/>
          <w:sz w:val="28"/>
          <w:szCs w:val="28"/>
          <w:lang w:eastAsia="ru-RU"/>
        </w:rPr>
        <w:tab/>
        <w:t xml:space="preserve"> Вікторія МУХА</w:t>
      </w:r>
    </w:p>
    <w:p w14:paraId="55E6E072" w14:textId="77777777" w:rsidR="002E765B" w:rsidRPr="002E765B" w:rsidRDefault="002E765B" w:rsidP="002E765B">
      <w:pPr>
        <w:suppressAutoHyphens w:val="0"/>
        <w:spacing w:before="360" w:line="240" w:lineRule="auto"/>
        <w:ind w:leftChars="0" w:left="0" w:right="-284" w:firstLineChars="0" w:firstLine="0"/>
        <w:jc w:val="both"/>
        <w:textDirection w:val="lrTb"/>
        <w:textAlignment w:val="auto"/>
        <w:outlineLvl w:val="9"/>
        <w:rPr>
          <w:position w:val="0"/>
          <w:sz w:val="28"/>
          <w:szCs w:val="28"/>
          <w:lang w:eastAsia="ru-RU"/>
        </w:rPr>
      </w:pPr>
      <w:r w:rsidRPr="002E765B">
        <w:rPr>
          <w:position w:val="0"/>
          <w:sz w:val="28"/>
          <w:szCs w:val="28"/>
          <w:lang w:eastAsia="ru-RU"/>
        </w:rPr>
        <w:t>Депутат Київської міської ради</w:t>
      </w:r>
      <w:r w:rsidRPr="002E765B">
        <w:rPr>
          <w:position w:val="0"/>
          <w:sz w:val="28"/>
          <w:szCs w:val="28"/>
          <w:lang w:eastAsia="ru-RU"/>
        </w:rPr>
        <w:tab/>
      </w:r>
      <w:r w:rsidRPr="002E765B">
        <w:rPr>
          <w:position w:val="0"/>
          <w:sz w:val="28"/>
          <w:szCs w:val="28"/>
          <w:lang w:eastAsia="ru-RU"/>
        </w:rPr>
        <w:tab/>
      </w:r>
      <w:r w:rsidRPr="002E765B">
        <w:rPr>
          <w:position w:val="0"/>
          <w:sz w:val="28"/>
          <w:szCs w:val="28"/>
          <w:lang w:eastAsia="ru-RU"/>
        </w:rPr>
        <w:tab/>
      </w:r>
      <w:r w:rsidRPr="002E765B">
        <w:rPr>
          <w:position w:val="0"/>
          <w:sz w:val="28"/>
          <w:szCs w:val="28"/>
          <w:lang w:eastAsia="ru-RU"/>
        </w:rPr>
        <w:tab/>
        <w:t xml:space="preserve"> Юлія ЯРМОЛЕНКО</w:t>
      </w:r>
    </w:p>
    <w:p w14:paraId="002CD7D5" w14:textId="7959671A" w:rsidR="00BB75D0" w:rsidRDefault="00BB75D0">
      <w:pPr>
        <w:pBdr>
          <w:top w:val="nil"/>
          <w:left w:val="nil"/>
          <w:bottom w:val="nil"/>
          <w:right w:val="nil"/>
          <w:between w:val="nil"/>
        </w:pBdr>
        <w:spacing w:line="240" w:lineRule="auto"/>
        <w:ind w:left="1" w:hanging="3"/>
        <w:jc w:val="both"/>
        <w:rPr>
          <w:sz w:val="28"/>
          <w:szCs w:val="28"/>
        </w:rPr>
      </w:pPr>
    </w:p>
    <w:sectPr w:rsidR="00BB75D0" w:rsidSect="00A503D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2DF9" w14:textId="77777777" w:rsidR="004218D1" w:rsidRDefault="004218D1">
      <w:pPr>
        <w:spacing w:line="240" w:lineRule="auto"/>
        <w:ind w:left="0" w:hanging="2"/>
      </w:pPr>
      <w:r>
        <w:separator/>
      </w:r>
    </w:p>
  </w:endnote>
  <w:endnote w:type="continuationSeparator" w:id="0">
    <w:p w14:paraId="5DAFE0EA" w14:textId="77777777" w:rsidR="004218D1" w:rsidRDefault="004218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8770" w14:textId="77777777" w:rsidR="00BB75D0" w:rsidRDefault="00BB75D0">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56C5" w14:textId="77777777" w:rsidR="00BB75D0" w:rsidRDefault="00BB75D0">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EE3A" w14:textId="77777777" w:rsidR="00BB75D0" w:rsidRDefault="00BB75D0">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7232" w14:textId="77777777" w:rsidR="004218D1" w:rsidRDefault="004218D1">
      <w:pPr>
        <w:spacing w:line="240" w:lineRule="auto"/>
        <w:ind w:left="0" w:hanging="2"/>
      </w:pPr>
      <w:r>
        <w:separator/>
      </w:r>
    </w:p>
  </w:footnote>
  <w:footnote w:type="continuationSeparator" w:id="0">
    <w:p w14:paraId="6884F06D" w14:textId="77777777" w:rsidR="004218D1" w:rsidRDefault="004218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CEE2" w14:textId="77777777" w:rsidR="00BB75D0" w:rsidRDefault="00BB75D0">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8970" w14:textId="646827F8" w:rsidR="00BB75D0" w:rsidRDefault="004218D1">
    <w:pPr>
      <w:pBdr>
        <w:top w:val="nil"/>
        <w:left w:val="nil"/>
        <w:bottom w:val="nil"/>
        <w:right w:val="nil"/>
        <w:between w:val="nil"/>
      </w:pBdr>
      <w:tabs>
        <w:tab w:val="center" w:pos="4677"/>
        <w:tab w:val="right" w:pos="9355"/>
      </w:tabs>
      <w:spacing w:line="240" w:lineRule="auto"/>
      <w:ind w:left="0" w:hanging="2"/>
      <w:jc w:val="center"/>
      <w:rPr>
        <w:sz w:val="24"/>
        <w:szCs w:val="24"/>
      </w:rPr>
    </w:pPr>
    <w:r w:rsidRPr="00A503D2">
      <w:rPr>
        <w:sz w:val="24"/>
        <w:szCs w:val="24"/>
      </w:rPr>
      <w:fldChar w:fldCharType="begin"/>
    </w:r>
    <w:r w:rsidRPr="00A503D2">
      <w:rPr>
        <w:sz w:val="24"/>
        <w:szCs w:val="24"/>
      </w:rPr>
      <w:instrText>PAGE</w:instrText>
    </w:r>
    <w:r w:rsidRPr="00A503D2">
      <w:rPr>
        <w:sz w:val="24"/>
        <w:szCs w:val="24"/>
      </w:rPr>
      <w:fldChar w:fldCharType="separate"/>
    </w:r>
    <w:r w:rsidR="009E7BE5" w:rsidRPr="00A503D2">
      <w:rPr>
        <w:noProof/>
        <w:sz w:val="24"/>
        <w:szCs w:val="24"/>
      </w:rPr>
      <w:t>2</w:t>
    </w:r>
    <w:r w:rsidRPr="00A503D2">
      <w:rPr>
        <w:sz w:val="24"/>
        <w:szCs w:val="24"/>
      </w:rPr>
      <w:fldChar w:fldCharType="end"/>
    </w:r>
  </w:p>
  <w:p w14:paraId="0AD2474A" w14:textId="77777777" w:rsidR="00A503D2" w:rsidRPr="00A503D2" w:rsidRDefault="00A503D2">
    <w:pPr>
      <w:pBdr>
        <w:top w:val="nil"/>
        <w:left w:val="nil"/>
        <w:bottom w:val="nil"/>
        <w:right w:val="nil"/>
        <w:between w:val="nil"/>
      </w:pBdr>
      <w:tabs>
        <w:tab w:val="center" w:pos="4677"/>
        <w:tab w:val="right" w:pos="9355"/>
      </w:tabs>
      <w:spacing w:line="240" w:lineRule="auto"/>
      <w:ind w:left="0" w:hanging="2"/>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B0B7" w14:textId="77777777" w:rsidR="00BB75D0" w:rsidRDefault="00BB75D0">
    <w:pPr>
      <w:pBdr>
        <w:top w:val="nil"/>
        <w:left w:val="nil"/>
        <w:bottom w:val="nil"/>
        <w:right w:val="nil"/>
        <w:between w:val="nil"/>
      </w:pBdr>
      <w:tabs>
        <w:tab w:val="center" w:pos="4677"/>
        <w:tab w:val="right" w:pos="9355"/>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6465"/>
    <w:multiLevelType w:val="multilevel"/>
    <w:tmpl w:val="64EC23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1938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D0"/>
    <w:rsid w:val="00142269"/>
    <w:rsid w:val="00255CC0"/>
    <w:rsid w:val="002E4F12"/>
    <w:rsid w:val="002E765B"/>
    <w:rsid w:val="00393EA1"/>
    <w:rsid w:val="004218D1"/>
    <w:rsid w:val="00661783"/>
    <w:rsid w:val="00804C6C"/>
    <w:rsid w:val="0088033A"/>
    <w:rsid w:val="00887F9B"/>
    <w:rsid w:val="009348B0"/>
    <w:rsid w:val="009E7BE5"/>
    <w:rsid w:val="00A42E2F"/>
    <w:rsid w:val="00A503D2"/>
    <w:rsid w:val="00B3442C"/>
    <w:rsid w:val="00B3671E"/>
    <w:rsid w:val="00BB75D0"/>
    <w:rsid w:val="00C718D4"/>
    <w:rsid w:val="00C73E66"/>
    <w:rsid w:val="00D16265"/>
    <w:rsid w:val="00D56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D757F"/>
  <w15:docId w15:val="{B8C60260-ADE5-4EEF-8971-AB07993B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spacing w:before="240" w:after="60"/>
      <w:outlineLvl w:val="4"/>
    </w:pPr>
    <w:rPr>
      <w:b/>
      <w:bCs/>
      <w:i/>
      <w:iCs/>
      <w:sz w:val="26"/>
      <w:szCs w:val="26"/>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ody Text Indent"/>
    <w:basedOn w:val="a"/>
    <w:pPr>
      <w:ind w:firstLine="567"/>
      <w:jc w:val="both"/>
    </w:pPr>
    <w:rPr>
      <w:sz w:val="28"/>
    </w:rPr>
  </w:style>
  <w:style w:type="paragraph" w:styleId="20">
    <w:name w:val="Body Text Indent 2"/>
    <w:basedOn w:val="a"/>
    <w:pPr>
      <w:spacing w:after="120" w:line="480" w:lineRule="auto"/>
      <w:ind w:left="283"/>
    </w:pPr>
  </w:style>
  <w:style w:type="paragraph" w:styleId="30">
    <w:name w:val="Body Text Indent 3"/>
    <w:basedOn w:val="a"/>
    <w:pPr>
      <w:spacing w:after="120"/>
      <w:ind w:left="283"/>
    </w:pPr>
    <w:rPr>
      <w:sz w:val="16"/>
      <w:szCs w:val="16"/>
    </w:rPr>
  </w:style>
  <w:style w:type="paragraph" w:customStyle="1" w:styleId="CharChar">
    <w:name w:val="Char Знак Знак Char Знак Знак Знак Знак Знак Знак Знак Знак Знак Знак Знак Знак Знак"/>
    <w:basedOn w:val="a"/>
    <w:pPr>
      <w:ind w:firstLine="720"/>
      <w:jc w:val="both"/>
    </w:pPr>
    <w:rPr>
      <w:rFonts w:ascii="Verdana" w:hAnsi="Verdana"/>
      <w:sz w:val="28"/>
      <w:lang w:val="en-US" w:eastAsia="en-US"/>
    </w:rPr>
  </w:style>
  <w:style w:type="paragraph" w:styleId="a5">
    <w:name w:val="Balloon Text"/>
    <w:basedOn w:val="a"/>
    <w:rPr>
      <w:rFonts w:ascii="Tahoma" w:hAnsi="Tahoma" w:cs="Tahoma"/>
      <w:sz w:val="16"/>
      <w:szCs w:val="16"/>
    </w:rPr>
  </w:style>
  <w:style w:type="character" w:customStyle="1" w:styleId="50">
    <w:name w:val="Заголовок 5 Знак"/>
    <w:rPr>
      <w:b/>
      <w:bCs/>
      <w:i/>
      <w:iCs/>
      <w:w w:val="100"/>
      <w:position w:val="-1"/>
      <w:sz w:val="26"/>
      <w:szCs w:val="26"/>
      <w:effect w:val="none"/>
      <w:vertAlign w:val="baseline"/>
      <w:cs w:val="0"/>
      <w:em w:val="none"/>
      <w:lang w:val="uk-UA"/>
    </w:rPr>
  </w:style>
  <w:style w:type="table" w:styleId="a6">
    <w:name w:val="Table Grid"/>
    <w:basedOn w:val="a1"/>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qFormat/>
    <w:pPr>
      <w:tabs>
        <w:tab w:val="center" w:pos="4677"/>
        <w:tab w:val="right" w:pos="9355"/>
      </w:tabs>
    </w:pPr>
  </w:style>
  <w:style w:type="character" w:customStyle="1" w:styleId="a8">
    <w:name w:val="Верхний колонтитул Знак"/>
    <w:rPr>
      <w:w w:val="100"/>
      <w:position w:val="-1"/>
      <w:effect w:val="none"/>
      <w:vertAlign w:val="baseline"/>
      <w:cs w:val="0"/>
      <w:em w:val="none"/>
      <w:lang w:val="uk-UA"/>
    </w:rPr>
  </w:style>
  <w:style w:type="paragraph" w:styleId="a9">
    <w:name w:val="footer"/>
    <w:basedOn w:val="a"/>
    <w:qFormat/>
    <w:pPr>
      <w:tabs>
        <w:tab w:val="center" w:pos="4677"/>
        <w:tab w:val="right" w:pos="9355"/>
      </w:tabs>
    </w:pPr>
  </w:style>
  <w:style w:type="character" w:customStyle="1" w:styleId="aa">
    <w:name w:val="Нижний колонтитул Знак"/>
    <w:rPr>
      <w:w w:val="100"/>
      <w:position w:val="-1"/>
      <w:effect w:val="none"/>
      <w:vertAlign w:val="baseline"/>
      <w:cs w:val="0"/>
      <w:em w:val="none"/>
      <w:lang w:val="uk-UA"/>
    </w:rPr>
  </w:style>
  <w:style w:type="paragraph" w:styleId="ab">
    <w:name w:val="Normal (Web)"/>
    <w:basedOn w:val="a"/>
    <w:uiPriority w:val="99"/>
    <w:qFormat/>
    <w:rPr>
      <w:sz w:val="24"/>
      <w:szCs w:val="24"/>
      <w:lang w:val="ru-RU"/>
    </w:rPr>
  </w:style>
  <w:style w:type="character" w:styleId="ac">
    <w:name w:val="Hyperlink"/>
    <w:qFormat/>
    <w:rPr>
      <w:color w:val="0000FF"/>
      <w:w w:val="100"/>
      <w:position w:val="-1"/>
      <w:u w:val="single"/>
      <w:effect w:val="none"/>
      <w:vertAlign w:val="baseline"/>
      <w:cs w:val="0"/>
      <w:em w:val="none"/>
    </w:rPr>
  </w:style>
  <w:style w:type="character" w:customStyle="1" w:styleId="21">
    <w:name w:val="Основной текст с отступом 2 Знак"/>
    <w:rPr>
      <w:w w:val="100"/>
      <w:position w:val="-1"/>
      <w:effect w:val="none"/>
      <w:vertAlign w:val="baseline"/>
      <w:cs w:val="0"/>
      <w:em w:val="none"/>
      <w:lang w:val="uk-UA"/>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08" w:type="dxa"/>
        <w:right w:w="108" w:type="dxa"/>
      </w:tblCellMar>
    </w:tblPr>
  </w:style>
  <w:style w:type="paragraph" w:styleId="af">
    <w:name w:val="No Spacing"/>
    <w:uiPriority w:val="1"/>
    <w:qFormat/>
    <w:rsid w:val="002645F5"/>
    <w:rPr>
      <w:rFonts w:eastAsiaTheme="minorHAnsi" w:cstheme="minorBidi"/>
      <w:sz w:val="28"/>
      <w:szCs w:val="22"/>
      <w:lang w:val="ru-RU" w:eastAsia="en-US"/>
    </w:rPr>
  </w:style>
  <w:style w:type="table" w:customStyle="1" w:styleId="af0">
    <w:basedOn w:val="TableNormal1"/>
    <w:tblPr>
      <w:tblStyleRowBandSize w:val="1"/>
      <w:tblStyleColBandSize w:val="1"/>
      <w:tblCellMar>
        <w:left w:w="108" w:type="dxa"/>
        <w:right w:w="108" w:type="dxa"/>
      </w:tblCellMar>
    </w:tblPr>
  </w:style>
  <w:style w:type="character" w:customStyle="1" w:styleId="rvts9">
    <w:name w:val="rvts9"/>
    <w:basedOn w:val="a0"/>
    <w:rsid w:val="00E95501"/>
  </w:style>
  <w:style w:type="character" w:styleId="af1">
    <w:name w:val="Strong"/>
    <w:basedOn w:val="a0"/>
    <w:uiPriority w:val="22"/>
    <w:qFormat/>
    <w:rsid w:val="00FC7975"/>
    <w:rPr>
      <w:b/>
      <w:bCs/>
    </w:rPr>
  </w:style>
  <w:style w:type="paragraph" w:styleId="af2">
    <w:name w:val="List Paragraph"/>
    <w:basedOn w:val="a"/>
    <w:uiPriority w:val="34"/>
    <w:qFormat/>
    <w:rsid w:val="00FC7975"/>
    <w:pPr>
      <w:ind w:left="720"/>
      <w:contextualSpacing/>
    </w:pPr>
  </w:style>
  <w:style w:type="table" w:customStyle="1" w:styleId="a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s+r15s6fqKMMPa36JBZJTR7Rw==">CgMxLjAyCGguZ2pkZ3hzOAByITFTLXZab1FPRTYwOTBfbV9mX3RxUXNNTHhZUTl0MzJMcg==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6249</Words>
  <Characters>3563</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Лисовець</dc:creator>
  <cp:lastModifiedBy>Грушецька Тетяна Олександрівна</cp:lastModifiedBy>
  <cp:revision>16</cp:revision>
  <cp:lastPrinted>2025-01-20T14:12:00Z</cp:lastPrinted>
  <dcterms:created xsi:type="dcterms:W3CDTF">2024-07-15T08:14:00Z</dcterms:created>
  <dcterms:modified xsi:type="dcterms:W3CDTF">2025-01-22T14:05:00Z</dcterms:modified>
</cp:coreProperties>
</file>