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F" w:rsidRDefault="00A84FBE">
      <w:pPr>
        <w:spacing w:after="160" w:line="259" w:lineRule="auto"/>
        <w:jc w:val="center"/>
        <w:rPr>
          <w:rFonts w:ascii="Benguiat" w:hAnsi="Benguiat" w:cs="Benguiat"/>
          <w:b/>
          <w:color w:val="000000"/>
          <w:spacing w:val="18"/>
          <w:w w:val="66"/>
          <w:sz w:val="56"/>
          <w:szCs w:val="56"/>
          <w:lang w:eastAsia="ru-RU"/>
        </w:rPr>
      </w:pPr>
      <w:bookmarkStart w:id="0" w:name="5"/>
      <w:bookmarkEnd w:id="0"/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en-US" w:eastAsia="en-US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7F" w:rsidRDefault="00A84FBE">
      <w:pPr>
        <w:spacing w:before="120" w:after="160" w:line="259" w:lineRule="auto"/>
        <w:jc w:val="center"/>
        <w:rPr>
          <w:b/>
          <w:bCs/>
          <w:color w:val="000000"/>
          <w:spacing w:val="18"/>
          <w:w w:val="66"/>
          <w:sz w:val="72"/>
          <w:szCs w:val="72"/>
          <w:lang w:eastAsia="en-US"/>
        </w:rPr>
      </w:pPr>
      <w:r>
        <w:rPr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:rsidR="00E47A7F" w:rsidRDefault="00A84FBE">
      <w:pPr>
        <w:keepNext/>
        <w:pBdr>
          <w:bottom w:val="thinThickThinSmallGap" w:sz="24" w:space="2" w:color="auto"/>
        </w:pBdr>
        <w:spacing w:after="160" w:line="259" w:lineRule="auto"/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:rsidR="00E47A7F" w:rsidRDefault="00E47A7F">
      <w:pPr>
        <w:jc w:val="center"/>
        <w:rPr>
          <w:rFonts w:ascii="Benguiat" w:hAnsi="Benguiat" w:cs="Benguiat"/>
          <w:color w:val="000000"/>
          <w:sz w:val="16"/>
          <w:szCs w:val="16"/>
          <w:lang w:eastAsia="en-US"/>
        </w:rPr>
      </w:pPr>
    </w:p>
    <w:p w:rsidR="00E47A7F" w:rsidRDefault="00A84FBE">
      <w:pPr>
        <w:jc w:val="center"/>
        <w:rPr>
          <w:color w:val="000000"/>
          <w:sz w:val="40"/>
          <w:szCs w:val="40"/>
          <w:lang w:eastAsia="en-US"/>
        </w:rPr>
      </w:pPr>
      <w:r>
        <w:rPr>
          <w:color w:val="000000"/>
          <w:sz w:val="40"/>
          <w:szCs w:val="40"/>
          <w:lang w:eastAsia="en-US"/>
        </w:rPr>
        <w:t>РІШЕННЯ</w:t>
      </w:r>
    </w:p>
    <w:p w:rsidR="00E47A7F" w:rsidRDefault="00E47A7F">
      <w:pPr>
        <w:spacing w:after="160" w:line="360" w:lineRule="auto"/>
        <w:jc w:val="both"/>
        <w:rPr>
          <w:sz w:val="16"/>
          <w:szCs w:val="16"/>
          <w:lang w:eastAsia="en-US"/>
        </w:rPr>
      </w:pPr>
    </w:p>
    <w:p w:rsidR="00E47A7F" w:rsidRDefault="00A84FBE">
      <w:pPr>
        <w:spacing w:after="160"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________№_______________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8"/>
          <w:szCs w:val="28"/>
          <w:lang w:eastAsia="en-US"/>
        </w:rPr>
        <w:t>ПРОЄКТ</w:t>
      </w:r>
    </w:p>
    <w:tbl>
      <w:tblPr>
        <w:tblW w:w="9860" w:type="dxa"/>
        <w:tblInd w:w="-34" w:type="dxa"/>
        <w:tblLook w:val="04A0" w:firstRow="1" w:lastRow="0" w:firstColumn="1" w:lastColumn="0" w:noHBand="0" w:noVBand="1"/>
      </w:tblPr>
      <w:tblGrid>
        <w:gridCol w:w="4996"/>
        <w:gridCol w:w="4864"/>
      </w:tblGrid>
      <w:tr w:rsidR="00E47A7F" w:rsidTr="005F4806">
        <w:tc>
          <w:tcPr>
            <w:tcW w:w="4996" w:type="dxa"/>
          </w:tcPr>
          <w:p w:rsidR="00F62914" w:rsidRPr="009E2410" w:rsidRDefault="00F62914" w:rsidP="00F62914">
            <w:pPr>
              <w:rPr>
                <w:b/>
                <w:sz w:val="28"/>
                <w:szCs w:val="28"/>
              </w:rPr>
            </w:pPr>
          </w:p>
          <w:p w:rsidR="007A4159" w:rsidRDefault="00F62914" w:rsidP="007A4159">
            <w:pPr>
              <w:rPr>
                <w:b/>
                <w:sz w:val="28"/>
                <w:szCs w:val="28"/>
              </w:rPr>
            </w:pPr>
            <w:r w:rsidRPr="009E2410">
              <w:rPr>
                <w:b/>
                <w:sz w:val="28"/>
                <w:szCs w:val="28"/>
              </w:rPr>
              <w:t xml:space="preserve">Про </w:t>
            </w:r>
            <w:r w:rsidR="005F4806" w:rsidRPr="009E2410">
              <w:rPr>
                <w:b/>
                <w:sz w:val="28"/>
                <w:szCs w:val="28"/>
              </w:rPr>
              <w:t>деякі питання функціонування</w:t>
            </w:r>
            <w:r w:rsidR="007A4159">
              <w:rPr>
                <w:b/>
                <w:sz w:val="28"/>
                <w:szCs w:val="28"/>
              </w:rPr>
              <w:t xml:space="preserve"> </w:t>
            </w:r>
          </w:p>
          <w:p w:rsidR="007A4159" w:rsidRDefault="007A4159" w:rsidP="007A4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період дії воєнного стану</w:t>
            </w:r>
            <w:r w:rsidR="005F4806" w:rsidRPr="009E2410">
              <w:rPr>
                <w:b/>
                <w:sz w:val="28"/>
                <w:szCs w:val="28"/>
              </w:rPr>
              <w:t xml:space="preserve"> </w:t>
            </w:r>
          </w:p>
          <w:p w:rsidR="00E47A7F" w:rsidRDefault="0099132C" w:rsidP="007A4159">
            <w:pPr>
              <w:rPr>
                <w:b/>
                <w:sz w:val="28"/>
                <w:szCs w:val="28"/>
              </w:rPr>
            </w:pPr>
            <w:r w:rsidRPr="009E2410">
              <w:rPr>
                <w:b/>
                <w:sz w:val="28"/>
                <w:szCs w:val="28"/>
              </w:rPr>
              <w:t>суб</w:t>
            </w:r>
            <w:r w:rsidR="0087111D">
              <w:rPr>
                <w:b/>
                <w:sz w:val="28"/>
                <w:szCs w:val="28"/>
              </w:rPr>
              <w:t>’єктів господарювання, які прова</w:t>
            </w:r>
            <w:r w:rsidRPr="009E2410">
              <w:rPr>
                <w:b/>
                <w:sz w:val="28"/>
                <w:szCs w:val="28"/>
              </w:rPr>
              <w:t>дять діяльність у сфері громадського харчування</w:t>
            </w:r>
          </w:p>
          <w:p w:rsidR="007A4159" w:rsidRDefault="007A4159" w:rsidP="007A4159">
            <w:pPr>
              <w:rPr>
                <w:b/>
              </w:rPr>
            </w:pPr>
          </w:p>
        </w:tc>
        <w:tc>
          <w:tcPr>
            <w:tcW w:w="4864" w:type="dxa"/>
          </w:tcPr>
          <w:p w:rsidR="00E47A7F" w:rsidRDefault="00E47A7F"/>
        </w:tc>
      </w:tr>
    </w:tbl>
    <w:p w:rsidR="00E47A7F" w:rsidRPr="00AE1DD0" w:rsidRDefault="00427164" w:rsidP="009E24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місцеве самоврядування</w:t>
      </w:r>
      <w:r w:rsidR="0099132C">
        <w:rPr>
          <w:sz w:val="28"/>
          <w:szCs w:val="28"/>
        </w:rPr>
        <w:t xml:space="preserve"> в Україні</w:t>
      </w:r>
      <w:r>
        <w:rPr>
          <w:sz w:val="28"/>
          <w:szCs w:val="28"/>
        </w:rPr>
        <w:t>»</w:t>
      </w:r>
      <w:r w:rsidR="00F62914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 законами України «Про оборону України», «Про правовий режим воєнного часу», Указом Президента України від 24.02.2022 №</w:t>
      </w:r>
      <w:r w:rsidR="0099132C">
        <w:rPr>
          <w:sz w:val="28"/>
          <w:szCs w:val="28"/>
        </w:rPr>
        <w:t>64/2022 «Про введення воєнного стану в Україні», затвердженим</w:t>
      </w:r>
      <w:r w:rsidR="009E0C31">
        <w:rPr>
          <w:sz w:val="28"/>
          <w:szCs w:val="28"/>
        </w:rPr>
        <w:t xml:space="preserve"> З</w:t>
      </w:r>
      <w:r w:rsidR="0099132C">
        <w:rPr>
          <w:sz w:val="28"/>
          <w:szCs w:val="28"/>
        </w:rPr>
        <w:t xml:space="preserve">аконом України «Про затвердження Указу Президента України «Про введення воєнного стану в Україні», </w:t>
      </w:r>
      <w:r w:rsidR="0099132C" w:rsidRPr="00AE1DD0">
        <w:rPr>
          <w:sz w:val="28"/>
          <w:szCs w:val="28"/>
        </w:rPr>
        <w:t xml:space="preserve">постановою Кабінету Міністрів України від 08.07.2020 № 573 «Питання запровадження та здійснення деяких заходів правового режиму воєнного стану», </w:t>
      </w:r>
      <w:r w:rsidR="00B00033" w:rsidRPr="00AE1DD0">
        <w:rPr>
          <w:sz w:val="28"/>
          <w:szCs w:val="28"/>
        </w:rPr>
        <w:t xml:space="preserve">враховуючи </w:t>
      </w:r>
      <w:r w:rsidR="0099132C" w:rsidRPr="00AE1DD0">
        <w:rPr>
          <w:sz w:val="28"/>
          <w:szCs w:val="28"/>
        </w:rPr>
        <w:t>рішення Ради оборони міста</w:t>
      </w:r>
      <w:r w:rsidR="002C7066" w:rsidRPr="00AE1DD0">
        <w:rPr>
          <w:sz w:val="28"/>
          <w:szCs w:val="28"/>
        </w:rPr>
        <w:t xml:space="preserve"> </w:t>
      </w:r>
      <w:r w:rsidR="0099132C" w:rsidRPr="00AE1DD0">
        <w:rPr>
          <w:sz w:val="28"/>
          <w:szCs w:val="28"/>
        </w:rPr>
        <w:t>Києва</w:t>
      </w:r>
      <w:r w:rsidR="00AE1DD0" w:rsidRPr="00AE1DD0">
        <w:rPr>
          <w:sz w:val="28"/>
          <w:szCs w:val="28"/>
        </w:rPr>
        <w:t>,</w:t>
      </w:r>
      <w:r w:rsidR="00B00033" w:rsidRPr="00AE1DD0">
        <w:rPr>
          <w:sz w:val="28"/>
          <w:szCs w:val="28"/>
        </w:rPr>
        <w:t xml:space="preserve"> </w:t>
      </w:r>
      <w:r w:rsidR="0099132C" w:rsidRPr="00AE1DD0">
        <w:rPr>
          <w:sz w:val="28"/>
          <w:szCs w:val="28"/>
        </w:rPr>
        <w:t xml:space="preserve">з метою забезпечення безпеки населення на території міста Києва, </w:t>
      </w:r>
      <w:r w:rsidRPr="00AE1DD0">
        <w:rPr>
          <w:sz w:val="28"/>
          <w:szCs w:val="28"/>
        </w:rPr>
        <w:t xml:space="preserve"> </w:t>
      </w:r>
      <w:r w:rsidR="00F62914" w:rsidRPr="00AE1DD0">
        <w:rPr>
          <w:sz w:val="28"/>
          <w:szCs w:val="28"/>
        </w:rPr>
        <w:t>Київська міська рада</w:t>
      </w:r>
      <w:bookmarkStart w:id="1" w:name="n3"/>
      <w:bookmarkEnd w:id="1"/>
      <w:r w:rsidR="0099132C" w:rsidRPr="00AE1DD0">
        <w:rPr>
          <w:sz w:val="28"/>
          <w:szCs w:val="28"/>
        </w:rPr>
        <w:t xml:space="preserve"> </w:t>
      </w:r>
      <w:r w:rsidR="0099132C" w:rsidRPr="00AE1DD0">
        <w:rPr>
          <w:b/>
          <w:sz w:val="28"/>
          <w:szCs w:val="28"/>
        </w:rPr>
        <w:t>вирішила:</w:t>
      </w:r>
    </w:p>
    <w:p w:rsidR="00F62914" w:rsidRPr="00AE1DD0" w:rsidRDefault="00F62914" w:rsidP="00F62914">
      <w:pPr>
        <w:rPr>
          <w:sz w:val="28"/>
          <w:szCs w:val="28"/>
        </w:rPr>
      </w:pPr>
    </w:p>
    <w:p w:rsidR="00B1210C" w:rsidRPr="00AE1DD0" w:rsidRDefault="005F4806" w:rsidP="00686C3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E1DD0">
        <w:rPr>
          <w:sz w:val="28"/>
          <w:szCs w:val="28"/>
        </w:rPr>
        <w:t>Звернути увагу суб</w:t>
      </w:r>
      <w:r w:rsidR="0087111D">
        <w:rPr>
          <w:sz w:val="28"/>
          <w:szCs w:val="28"/>
        </w:rPr>
        <w:t>’єктів господарювання, які прова</w:t>
      </w:r>
      <w:r w:rsidRPr="00AE1DD0">
        <w:rPr>
          <w:sz w:val="28"/>
          <w:szCs w:val="28"/>
        </w:rPr>
        <w:t>дять діяльність у сфері громадського харчування</w:t>
      </w:r>
      <w:r w:rsidR="00B1210C" w:rsidRPr="00AE1DD0">
        <w:rPr>
          <w:sz w:val="28"/>
          <w:szCs w:val="28"/>
        </w:rPr>
        <w:t xml:space="preserve"> на</w:t>
      </w:r>
      <w:r w:rsidR="009E0C31" w:rsidRPr="00AE1DD0">
        <w:rPr>
          <w:sz w:val="28"/>
          <w:szCs w:val="28"/>
        </w:rPr>
        <w:t xml:space="preserve"> необхідність</w:t>
      </w:r>
      <w:r w:rsidRPr="00AE1DD0">
        <w:rPr>
          <w:sz w:val="28"/>
          <w:szCs w:val="28"/>
        </w:rPr>
        <w:t xml:space="preserve"> неухильного дотримання  рішень Ради оборони міста Києва щодо обмеження роботи закладів харчування</w:t>
      </w:r>
      <w:r w:rsidR="00B01C1F">
        <w:rPr>
          <w:sz w:val="28"/>
          <w:szCs w:val="28"/>
        </w:rPr>
        <w:t xml:space="preserve"> та обслуговування ними відвідувачів</w:t>
      </w:r>
      <w:r w:rsidRPr="00AE1DD0">
        <w:rPr>
          <w:sz w:val="28"/>
          <w:szCs w:val="28"/>
        </w:rPr>
        <w:t xml:space="preserve"> </w:t>
      </w:r>
      <w:r w:rsidR="009E2410" w:rsidRPr="00AE1DD0">
        <w:rPr>
          <w:sz w:val="28"/>
          <w:szCs w:val="28"/>
        </w:rPr>
        <w:t>у період дії</w:t>
      </w:r>
      <w:r w:rsidR="009E0C31" w:rsidRPr="00AE1DD0">
        <w:rPr>
          <w:sz w:val="28"/>
          <w:szCs w:val="28"/>
        </w:rPr>
        <w:t xml:space="preserve"> </w:t>
      </w:r>
      <w:r w:rsidR="00B1210C" w:rsidRPr="00AE1DD0">
        <w:rPr>
          <w:sz w:val="28"/>
          <w:szCs w:val="28"/>
        </w:rPr>
        <w:t xml:space="preserve"> воєнного стану.</w:t>
      </w:r>
    </w:p>
    <w:p w:rsidR="003A1FD2" w:rsidRDefault="0082333F" w:rsidP="00686C3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418A">
        <w:rPr>
          <w:sz w:val="28"/>
          <w:szCs w:val="28"/>
        </w:rPr>
        <w:t>У період дії воєнного стану</w:t>
      </w:r>
      <w:r w:rsidR="003A1FD2">
        <w:rPr>
          <w:sz w:val="28"/>
          <w:szCs w:val="28"/>
        </w:rPr>
        <w:t>:</w:t>
      </w:r>
    </w:p>
    <w:p w:rsidR="006D5114" w:rsidRDefault="00B1210C" w:rsidP="00156540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8418A">
        <w:rPr>
          <w:sz w:val="28"/>
          <w:szCs w:val="28"/>
        </w:rPr>
        <w:t>Департаменту територіального контролю міста Києва виконавчого органу Київської міської ради (Київської міської державної адміністрації) фіксувати порушення закладами ресторанного господарства</w:t>
      </w:r>
      <w:r w:rsidR="006D5114" w:rsidRPr="00A8418A">
        <w:rPr>
          <w:sz w:val="28"/>
          <w:szCs w:val="28"/>
        </w:rPr>
        <w:t xml:space="preserve"> обмежень роботи </w:t>
      </w:r>
      <w:r w:rsidR="0087111D" w:rsidRPr="00A8418A">
        <w:rPr>
          <w:sz w:val="28"/>
          <w:szCs w:val="28"/>
        </w:rPr>
        <w:t xml:space="preserve">закладів харчування </w:t>
      </w:r>
      <w:r w:rsidR="0087111D">
        <w:rPr>
          <w:sz w:val="28"/>
          <w:szCs w:val="28"/>
        </w:rPr>
        <w:t>та обслуговування</w:t>
      </w:r>
      <w:r w:rsidR="00BC25FF">
        <w:rPr>
          <w:sz w:val="28"/>
          <w:szCs w:val="28"/>
        </w:rPr>
        <w:t xml:space="preserve"> ними</w:t>
      </w:r>
      <w:r w:rsidR="0087111D">
        <w:rPr>
          <w:sz w:val="28"/>
          <w:szCs w:val="28"/>
        </w:rPr>
        <w:t xml:space="preserve"> </w:t>
      </w:r>
      <w:r w:rsidR="00BC25FF">
        <w:rPr>
          <w:sz w:val="28"/>
          <w:szCs w:val="28"/>
        </w:rPr>
        <w:t>відвідувачів</w:t>
      </w:r>
      <w:r w:rsidR="006D5114" w:rsidRPr="00A8418A">
        <w:rPr>
          <w:sz w:val="28"/>
          <w:szCs w:val="28"/>
        </w:rPr>
        <w:t>, визначених рішенням</w:t>
      </w:r>
      <w:r w:rsidR="00E64EC7">
        <w:rPr>
          <w:sz w:val="28"/>
          <w:szCs w:val="28"/>
        </w:rPr>
        <w:t>и</w:t>
      </w:r>
      <w:r w:rsidR="006D5114" w:rsidRPr="00A8418A">
        <w:rPr>
          <w:sz w:val="28"/>
          <w:szCs w:val="28"/>
        </w:rPr>
        <w:t xml:space="preserve"> Ради оборони міста Києва, шляхом складання актів обстежень, які передавати до Департаменту містобудування та архітектури виконавчого органу Київської міської ради (Київської міської державної адміністрації).</w:t>
      </w:r>
    </w:p>
    <w:p w:rsidR="003A1FD2" w:rsidRPr="00FD1C77" w:rsidRDefault="006D5114" w:rsidP="00156540">
      <w:pPr>
        <w:pStyle w:val="a8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A1FD2">
        <w:rPr>
          <w:sz w:val="28"/>
          <w:szCs w:val="28"/>
        </w:rPr>
        <w:t xml:space="preserve">Департаменту містобудування та архітектури виконавчого органу Київської міської ради (Київської міської державної адміністрації) на підставі </w:t>
      </w:r>
      <w:r w:rsidRPr="00FD1C77">
        <w:rPr>
          <w:sz w:val="28"/>
          <w:szCs w:val="28"/>
        </w:rPr>
        <w:lastRenderedPageBreak/>
        <w:t>отриманих актів</w:t>
      </w:r>
      <w:r w:rsidRPr="003A1FD2">
        <w:rPr>
          <w:sz w:val="28"/>
          <w:szCs w:val="28"/>
        </w:rPr>
        <w:t xml:space="preserve"> обстежень, вказаних у пункті 2</w:t>
      </w:r>
      <w:r w:rsidR="003A1FD2">
        <w:rPr>
          <w:sz w:val="28"/>
          <w:szCs w:val="28"/>
        </w:rPr>
        <w:t>.1.</w:t>
      </w:r>
      <w:r w:rsidRPr="003A1FD2">
        <w:rPr>
          <w:sz w:val="28"/>
          <w:szCs w:val="28"/>
        </w:rPr>
        <w:t xml:space="preserve"> цього рішення, вживати заходів щодо</w:t>
      </w:r>
      <w:r w:rsidR="003D1DE0" w:rsidRPr="003A1FD2">
        <w:rPr>
          <w:sz w:val="28"/>
          <w:szCs w:val="28"/>
        </w:rPr>
        <w:t xml:space="preserve"> дострокового</w:t>
      </w:r>
      <w:r w:rsidRPr="003A1FD2">
        <w:rPr>
          <w:sz w:val="28"/>
          <w:szCs w:val="28"/>
        </w:rPr>
        <w:t xml:space="preserve"> </w:t>
      </w:r>
      <w:r w:rsidR="006C11B0" w:rsidRPr="003A1FD2">
        <w:rPr>
          <w:sz w:val="28"/>
          <w:szCs w:val="28"/>
        </w:rPr>
        <w:t>припинення</w:t>
      </w:r>
      <w:r w:rsidRPr="003A1FD2">
        <w:rPr>
          <w:sz w:val="28"/>
          <w:szCs w:val="28"/>
        </w:rPr>
        <w:t xml:space="preserve"> договорів пайової участі </w:t>
      </w:r>
      <w:r w:rsidR="003D1DE0" w:rsidRPr="003A1FD2">
        <w:rPr>
          <w:sz w:val="28"/>
          <w:szCs w:val="28"/>
        </w:rPr>
        <w:t>в ут</w:t>
      </w:r>
      <w:r w:rsidR="00AB0CB2" w:rsidRPr="003A1FD2">
        <w:rPr>
          <w:sz w:val="28"/>
          <w:szCs w:val="28"/>
        </w:rPr>
        <w:t xml:space="preserve">риманні об’єктів благоустрою та </w:t>
      </w:r>
      <w:r w:rsidR="0088283D" w:rsidRPr="00FD1C77">
        <w:rPr>
          <w:sz w:val="28"/>
          <w:szCs w:val="28"/>
        </w:rPr>
        <w:t>анулювання паспортів прив’язок та /або інформаційних талонів тимчасових споруд на розміщення сезонних та/або літніх майданчиків для харчування біля стаціонарних закладів ресторанного господарства.</w:t>
      </w:r>
    </w:p>
    <w:p w:rsidR="0088283D" w:rsidRDefault="00F62914" w:rsidP="00156540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8283D">
        <w:rPr>
          <w:sz w:val="28"/>
          <w:szCs w:val="28"/>
        </w:rPr>
        <w:t xml:space="preserve"> Оприлюднити це рішення в установленому порядку.</w:t>
      </w:r>
    </w:p>
    <w:p w:rsidR="00F62914" w:rsidRPr="0088283D" w:rsidRDefault="00F62914" w:rsidP="00156540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8283D">
        <w:rPr>
          <w:sz w:val="28"/>
          <w:szCs w:val="28"/>
        </w:rPr>
        <w:t xml:space="preserve">Контроль за виконанням цього рішення покласти на постійну </w:t>
      </w:r>
      <w:r w:rsidR="003D1DE0" w:rsidRPr="0088283D">
        <w:rPr>
          <w:sz w:val="28"/>
          <w:szCs w:val="28"/>
        </w:rPr>
        <w:t xml:space="preserve">комісію </w:t>
      </w:r>
      <w:hyperlink r:id="rId9" w:history="1">
        <w:r w:rsidR="003D1DE0" w:rsidRPr="0088283D">
          <w:rPr>
            <w:sz w:val="28"/>
            <w:szCs w:val="28"/>
          </w:rPr>
          <w:t xml:space="preserve"> Київської міської ради з питань підприємництва, промисловості та міського благоустрою</w:t>
        </w:r>
      </w:hyperlink>
      <w:r w:rsidR="003D1DE0" w:rsidRPr="0088283D">
        <w:rPr>
          <w:sz w:val="28"/>
          <w:szCs w:val="28"/>
        </w:rPr>
        <w:t>.</w:t>
      </w:r>
    </w:p>
    <w:p w:rsidR="003D1DE0" w:rsidRPr="001D1CCE" w:rsidRDefault="003D1DE0" w:rsidP="003D1DE0">
      <w:pPr>
        <w:ind w:firstLine="708"/>
        <w:jc w:val="both"/>
        <w:rPr>
          <w:b/>
          <w:sz w:val="28"/>
          <w:szCs w:val="28"/>
        </w:rPr>
      </w:pPr>
    </w:p>
    <w:p w:rsidR="00F62914" w:rsidRPr="001D1CCE" w:rsidRDefault="00F62914" w:rsidP="00F62914">
      <w:pPr>
        <w:jc w:val="both"/>
        <w:rPr>
          <w:b/>
          <w:sz w:val="28"/>
          <w:szCs w:val="28"/>
        </w:rPr>
      </w:pPr>
      <w:r w:rsidRPr="001D1CCE">
        <w:rPr>
          <w:b/>
          <w:sz w:val="28"/>
          <w:szCs w:val="28"/>
        </w:rPr>
        <w:t>Київський міський голова</w:t>
      </w:r>
      <w:r w:rsidRPr="001D1CCE">
        <w:rPr>
          <w:b/>
          <w:sz w:val="28"/>
          <w:szCs w:val="28"/>
        </w:rPr>
        <w:tab/>
      </w:r>
      <w:r w:rsidRPr="001D1CCE">
        <w:rPr>
          <w:b/>
          <w:sz w:val="28"/>
          <w:szCs w:val="28"/>
        </w:rPr>
        <w:tab/>
      </w:r>
      <w:r w:rsidRPr="001D1CCE">
        <w:rPr>
          <w:b/>
          <w:sz w:val="28"/>
          <w:szCs w:val="28"/>
        </w:rPr>
        <w:tab/>
      </w:r>
      <w:r w:rsidRPr="001D1CCE">
        <w:rPr>
          <w:b/>
          <w:sz w:val="28"/>
          <w:szCs w:val="28"/>
        </w:rPr>
        <w:tab/>
      </w:r>
      <w:r w:rsidRPr="001D1CCE">
        <w:rPr>
          <w:b/>
          <w:sz w:val="28"/>
          <w:szCs w:val="28"/>
        </w:rPr>
        <w:tab/>
      </w:r>
      <w:r w:rsidRPr="001D1CCE">
        <w:rPr>
          <w:b/>
          <w:sz w:val="28"/>
          <w:szCs w:val="28"/>
        </w:rPr>
        <w:tab/>
        <w:t xml:space="preserve">   Віталій КЛИЧКО</w:t>
      </w:r>
    </w:p>
    <w:p w:rsidR="00E47A7F" w:rsidRDefault="00E47A7F">
      <w:pPr>
        <w:rPr>
          <w:sz w:val="28"/>
          <w:szCs w:val="28"/>
        </w:rPr>
      </w:pPr>
    </w:p>
    <w:p w:rsidR="00E47A7F" w:rsidRPr="002B1295" w:rsidRDefault="00E47A7F">
      <w:pPr>
        <w:rPr>
          <w:b/>
          <w:bCs/>
          <w:color w:val="FFFFFF" w:themeColor="background1"/>
          <w:sz w:val="28"/>
          <w:szCs w:val="28"/>
        </w:rPr>
      </w:pPr>
    </w:p>
    <w:tbl>
      <w:tblPr>
        <w:tblStyle w:val="a6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10"/>
      </w:tblGrid>
      <w:tr w:rsidR="00E06EE9" w:rsidRPr="00E06EE9" w:rsidTr="00704C3E">
        <w:trPr>
          <w:trHeight w:val="4231"/>
        </w:trPr>
        <w:tc>
          <w:tcPr>
            <w:tcW w:w="4320" w:type="dxa"/>
          </w:tcPr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both"/>
              <w:rPr>
                <w:b/>
                <w:sz w:val="28"/>
                <w:szCs w:val="28"/>
              </w:rPr>
            </w:pPr>
          </w:p>
          <w:p w:rsidR="00E83A20" w:rsidRDefault="00E83A20">
            <w:pPr>
              <w:jc w:val="both"/>
              <w:rPr>
                <w:b/>
                <w:sz w:val="28"/>
                <w:szCs w:val="28"/>
              </w:rPr>
            </w:pPr>
          </w:p>
          <w:p w:rsidR="00E83A20" w:rsidRDefault="00E83A20">
            <w:pPr>
              <w:jc w:val="both"/>
              <w:rPr>
                <w:b/>
                <w:sz w:val="28"/>
                <w:szCs w:val="28"/>
              </w:rPr>
            </w:pPr>
          </w:p>
          <w:p w:rsidR="00FD1C77" w:rsidRDefault="00A84FBE">
            <w:pPr>
              <w:jc w:val="both"/>
              <w:rPr>
                <w:b/>
                <w:sz w:val="28"/>
                <w:szCs w:val="28"/>
              </w:rPr>
            </w:pPr>
            <w:r w:rsidRPr="00FD1C77">
              <w:rPr>
                <w:b/>
                <w:sz w:val="28"/>
                <w:szCs w:val="28"/>
              </w:rPr>
              <w:lastRenderedPageBreak/>
              <w:t xml:space="preserve">Депутати </w:t>
            </w:r>
          </w:p>
          <w:p w:rsidR="00E47A7F" w:rsidRPr="00FD1C77" w:rsidRDefault="00A84FBE">
            <w:pPr>
              <w:jc w:val="both"/>
              <w:rPr>
                <w:b/>
                <w:sz w:val="28"/>
                <w:szCs w:val="28"/>
              </w:rPr>
            </w:pPr>
            <w:r w:rsidRPr="00FD1C77">
              <w:rPr>
                <w:b/>
                <w:sz w:val="28"/>
                <w:szCs w:val="28"/>
              </w:rPr>
              <w:t>Київської міської ради</w:t>
            </w:r>
            <w:r w:rsidR="00E83A20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5810" w:type="dxa"/>
          </w:tcPr>
          <w:p w:rsidR="00E47A7F" w:rsidRPr="00FD1C77" w:rsidRDefault="00E47A7F" w:rsidP="00C348F2">
            <w:pPr>
              <w:ind w:firstLine="1948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>
            <w:pPr>
              <w:jc w:val="right"/>
              <w:rPr>
                <w:b/>
                <w:sz w:val="28"/>
                <w:szCs w:val="28"/>
              </w:rPr>
            </w:pPr>
          </w:p>
          <w:p w:rsidR="002F5143" w:rsidRDefault="002F5143" w:rsidP="002F5143">
            <w:pPr>
              <w:rPr>
                <w:b/>
                <w:sz w:val="28"/>
                <w:szCs w:val="28"/>
              </w:rPr>
            </w:pPr>
          </w:p>
          <w:p w:rsidR="00E83A20" w:rsidRDefault="002F5143" w:rsidP="002F5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E83A20" w:rsidRDefault="00E83A20" w:rsidP="002F5143">
            <w:pPr>
              <w:rPr>
                <w:b/>
                <w:sz w:val="28"/>
                <w:szCs w:val="28"/>
              </w:rPr>
            </w:pPr>
          </w:p>
          <w:p w:rsidR="00E47A7F" w:rsidRDefault="00E83A20" w:rsidP="002F5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7111D">
              <w:rPr>
                <w:b/>
                <w:sz w:val="28"/>
                <w:szCs w:val="28"/>
              </w:rPr>
              <w:t>Дмитро БІЛОЦЕРКОВЕЦЬ</w:t>
            </w:r>
          </w:p>
          <w:p w:rsidR="0087111D" w:rsidRDefault="0087111D" w:rsidP="00871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87111D" w:rsidRDefault="002F5143" w:rsidP="00871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7111D">
              <w:rPr>
                <w:b/>
                <w:sz w:val="28"/>
                <w:szCs w:val="28"/>
              </w:rPr>
              <w:t xml:space="preserve"> Олеся ЗУБРИЦЬКА</w:t>
            </w:r>
          </w:p>
          <w:p w:rsidR="0087111D" w:rsidRPr="00FD1C77" w:rsidRDefault="0087111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D1C77" w:rsidRDefault="00FD1C77">
      <w:pPr>
        <w:jc w:val="both"/>
        <w:rPr>
          <w:b/>
          <w:bCs/>
          <w:snapToGrid w:val="0"/>
          <w:sz w:val="28"/>
          <w:szCs w:val="28"/>
        </w:rPr>
      </w:pPr>
    </w:p>
    <w:p w:rsidR="00E83A20" w:rsidRDefault="00E83A20">
      <w:pPr>
        <w:jc w:val="both"/>
        <w:rPr>
          <w:b/>
          <w:bCs/>
          <w:snapToGrid w:val="0"/>
          <w:sz w:val="28"/>
          <w:szCs w:val="28"/>
        </w:rPr>
      </w:pPr>
    </w:p>
    <w:p w:rsidR="00E83A20" w:rsidRDefault="00E83A20">
      <w:pPr>
        <w:jc w:val="both"/>
        <w:rPr>
          <w:b/>
          <w:bCs/>
          <w:snapToGrid w:val="0"/>
          <w:sz w:val="28"/>
          <w:szCs w:val="28"/>
        </w:rPr>
      </w:pPr>
    </w:p>
    <w:p w:rsidR="00E83A20" w:rsidRDefault="00E83A20">
      <w:pPr>
        <w:jc w:val="both"/>
        <w:rPr>
          <w:b/>
          <w:bCs/>
          <w:snapToGrid w:val="0"/>
          <w:sz w:val="28"/>
          <w:szCs w:val="28"/>
        </w:rPr>
      </w:pPr>
      <w:bookmarkStart w:id="2" w:name="_GoBack"/>
      <w:bookmarkEnd w:id="2"/>
    </w:p>
    <w:p w:rsidR="00E83A20" w:rsidRDefault="00E83A20">
      <w:pPr>
        <w:jc w:val="both"/>
        <w:rPr>
          <w:b/>
          <w:bCs/>
          <w:snapToGrid w:val="0"/>
          <w:sz w:val="28"/>
          <w:szCs w:val="28"/>
        </w:rPr>
      </w:pPr>
    </w:p>
    <w:p w:rsidR="00E47A7F" w:rsidRPr="00E06EE9" w:rsidRDefault="00E83A20" w:rsidP="00C348F2">
      <w:pPr>
        <w:ind w:left="142" w:hanging="142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</w:t>
      </w:r>
      <w:r w:rsidR="00A84FBE" w:rsidRPr="00E06EE9">
        <w:rPr>
          <w:b/>
          <w:bCs/>
          <w:snapToGrid w:val="0"/>
          <w:sz w:val="28"/>
          <w:szCs w:val="28"/>
        </w:rPr>
        <w:t>ПОГОДЖЕННЯ:</w:t>
      </w:r>
    </w:p>
    <w:p w:rsidR="00E47A7F" w:rsidRPr="00E06EE9" w:rsidRDefault="00E47A7F">
      <w:pPr>
        <w:jc w:val="both"/>
        <w:rPr>
          <w:b/>
          <w:bCs/>
          <w:snapToGrid w:val="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3859"/>
      </w:tblGrid>
      <w:tr w:rsidR="00E06EE9" w:rsidRPr="00E06EE9" w:rsidTr="00686C30">
        <w:tc>
          <w:tcPr>
            <w:tcW w:w="5355" w:type="dxa"/>
          </w:tcPr>
          <w:p w:rsidR="00E47A7F" w:rsidRDefault="00A11398" w:rsidP="00FE7DF8">
            <w:pPr>
              <w:jc w:val="both"/>
              <w:rPr>
                <w:sz w:val="28"/>
                <w:szCs w:val="28"/>
              </w:rPr>
            </w:pPr>
            <w:hyperlink r:id="rId10" w:history="1">
              <w:r w:rsidR="00686C30" w:rsidRPr="0088283D">
                <w:rPr>
                  <w:sz w:val="28"/>
                  <w:szCs w:val="28"/>
                </w:rPr>
                <w:t>Київської міської ради з питань підприємництва, промисловості та міського благоустрою</w:t>
              </w:r>
            </w:hyperlink>
          </w:p>
          <w:p w:rsidR="00686C30" w:rsidRPr="00E06EE9" w:rsidRDefault="00686C30" w:rsidP="00FE7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</w:tc>
      </w:tr>
      <w:tr w:rsidR="00E06EE9" w:rsidRPr="00E06EE9" w:rsidTr="00686C30">
        <w:tc>
          <w:tcPr>
            <w:tcW w:w="5355" w:type="dxa"/>
          </w:tcPr>
          <w:p w:rsidR="00E47A7F" w:rsidRPr="00E06EE9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Голова</w:t>
            </w:r>
          </w:p>
        </w:tc>
        <w:tc>
          <w:tcPr>
            <w:tcW w:w="3859" w:type="dxa"/>
          </w:tcPr>
          <w:p w:rsidR="00E47A7F" w:rsidRPr="00E06EE9" w:rsidRDefault="00686C30" w:rsidP="00A8787E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</w:t>
            </w:r>
            <w:r w:rsidRPr="00686C30">
              <w:rPr>
                <w:rStyle w:val="a5"/>
                <w:sz w:val="28"/>
                <w:szCs w:val="28"/>
              </w:rPr>
              <w:t>аган ТОВМАСЯН</w:t>
            </w:r>
            <w:r w:rsidR="00A84FBE"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E06EE9" w:rsidRPr="00E06EE9" w:rsidTr="00686C30">
        <w:tc>
          <w:tcPr>
            <w:tcW w:w="5355" w:type="dxa"/>
          </w:tcPr>
          <w:p w:rsidR="00E47A7F" w:rsidRPr="00E06EE9" w:rsidRDefault="00E47A7F" w:rsidP="00A8787E">
            <w:pPr>
              <w:jc w:val="both"/>
              <w:rPr>
                <w:sz w:val="28"/>
                <w:szCs w:val="28"/>
              </w:rPr>
            </w:pPr>
          </w:p>
          <w:p w:rsidR="00E47A7F" w:rsidRDefault="00A84FBE" w:rsidP="00A8787E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Секретар</w:t>
            </w:r>
          </w:p>
          <w:p w:rsidR="00686C30" w:rsidRDefault="00686C30" w:rsidP="00A8787E">
            <w:pPr>
              <w:jc w:val="both"/>
              <w:rPr>
                <w:sz w:val="28"/>
                <w:szCs w:val="28"/>
              </w:rPr>
            </w:pPr>
          </w:p>
          <w:p w:rsidR="00686C30" w:rsidRPr="00E06EE9" w:rsidRDefault="00686C30" w:rsidP="00A87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9" w:type="dxa"/>
          </w:tcPr>
          <w:p w:rsidR="00E47A7F" w:rsidRPr="00E06EE9" w:rsidRDefault="00E47A7F" w:rsidP="00A8787E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  <w:p w:rsidR="00E47A7F" w:rsidRPr="00E06EE9" w:rsidRDefault="00686C30" w:rsidP="00A8787E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Василь</w:t>
            </w:r>
            <w:r w:rsidR="00FE7DF8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>ПОПАТЕНКО</w:t>
            </w:r>
          </w:p>
        </w:tc>
      </w:tr>
      <w:tr w:rsidR="00FE7DF8" w:rsidRPr="00E06EE9" w:rsidTr="00686C30">
        <w:tc>
          <w:tcPr>
            <w:tcW w:w="5355" w:type="dxa"/>
          </w:tcPr>
          <w:p w:rsidR="00FE7DF8" w:rsidRDefault="00686C30" w:rsidP="00FE7DF8">
            <w:pPr>
              <w:jc w:val="both"/>
              <w:rPr>
                <w:sz w:val="28"/>
                <w:szCs w:val="28"/>
              </w:rPr>
            </w:pPr>
            <w:r w:rsidRPr="00686C30">
              <w:rPr>
                <w:sz w:val="28"/>
                <w:szCs w:val="28"/>
              </w:rPr>
              <w:t>Постійна комісія київської міської ради з питань архітектури, містопланування та земельних відносин</w:t>
            </w:r>
          </w:p>
          <w:p w:rsidR="00686C30" w:rsidRDefault="00686C30" w:rsidP="00FE7DF8">
            <w:pPr>
              <w:jc w:val="both"/>
              <w:rPr>
                <w:sz w:val="28"/>
                <w:szCs w:val="28"/>
              </w:rPr>
            </w:pPr>
          </w:p>
          <w:p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Голова</w:t>
            </w:r>
          </w:p>
        </w:tc>
        <w:tc>
          <w:tcPr>
            <w:tcW w:w="3859" w:type="dxa"/>
          </w:tcPr>
          <w:p w:rsidR="00FE7DF8" w:rsidRDefault="00FE7DF8" w:rsidP="00FE7DF8">
            <w:pPr>
              <w:jc w:val="right"/>
              <w:rPr>
                <w:rStyle w:val="a5"/>
                <w:sz w:val="28"/>
                <w:szCs w:val="28"/>
              </w:rPr>
            </w:pPr>
          </w:p>
          <w:p w:rsidR="00686C30" w:rsidRDefault="00686C30" w:rsidP="00FE7DF8">
            <w:pPr>
              <w:jc w:val="right"/>
              <w:rPr>
                <w:rStyle w:val="a5"/>
                <w:sz w:val="28"/>
                <w:szCs w:val="28"/>
              </w:rPr>
            </w:pPr>
          </w:p>
          <w:p w:rsidR="00686C30" w:rsidRDefault="00686C30" w:rsidP="00FE7DF8">
            <w:pPr>
              <w:jc w:val="right"/>
              <w:rPr>
                <w:rStyle w:val="a5"/>
              </w:rPr>
            </w:pPr>
          </w:p>
          <w:p w:rsidR="00686C30" w:rsidRDefault="00686C30" w:rsidP="00FE7DF8">
            <w:pPr>
              <w:jc w:val="right"/>
              <w:rPr>
                <w:rStyle w:val="a5"/>
                <w:sz w:val="28"/>
                <w:szCs w:val="28"/>
              </w:rPr>
            </w:pPr>
          </w:p>
          <w:p w:rsidR="00FE7DF8" w:rsidRPr="00E06EE9" w:rsidRDefault="00686C30" w:rsidP="00FE7DF8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Михайло ТЕРЕНТЬЄВ</w:t>
            </w:r>
            <w:r w:rsidR="00FE7DF8"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  <w:tr w:rsidR="00FE7DF8" w:rsidRPr="00E06EE9" w:rsidTr="00686C30">
        <w:tc>
          <w:tcPr>
            <w:tcW w:w="5355" w:type="dxa"/>
          </w:tcPr>
          <w:p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</w:p>
          <w:p w:rsidR="00FE7DF8" w:rsidRPr="00E06EE9" w:rsidRDefault="00FE7DF8" w:rsidP="00FE7DF8">
            <w:pPr>
              <w:jc w:val="both"/>
              <w:rPr>
                <w:sz w:val="28"/>
                <w:szCs w:val="28"/>
              </w:rPr>
            </w:pPr>
            <w:r w:rsidRPr="00E06EE9">
              <w:rPr>
                <w:sz w:val="28"/>
                <w:szCs w:val="28"/>
              </w:rPr>
              <w:t>Секретар</w:t>
            </w:r>
          </w:p>
        </w:tc>
        <w:tc>
          <w:tcPr>
            <w:tcW w:w="3859" w:type="dxa"/>
          </w:tcPr>
          <w:p w:rsidR="00FE7DF8" w:rsidRDefault="00FE7DF8" w:rsidP="00FE7DF8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  <w:p w:rsidR="00FE7DF8" w:rsidRPr="00E06EE9" w:rsidRDefault="00686C30" w:rsidP="00FE7DF8">
            <w:pPr>
              <w:jc w:val="right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Юрій ФЕДОРЕНКО</w:t>
            </w:r>
            <w:r w:rsidR="00FE7DF8" w:rsidRPr="00E06EE9">
              <w:rPr>
                <w:rStyle w:val="a5"/>
                <w:sz w:val="28"/>
                <w:szCs w:val="28"/>
              </w:rPr>
              <w:t xml:space="preserve"> </w:t>
            </w:r>
          </w:p>
        </w:tc>
      </w:tr>
    </w:tbl>
    <w:p w:rsidR="00E47A7F" w:rsidRPr="00E06EE9" w:rsidRDefault="00E47A7F">
      <w:pPr>
        <w:rPr>
          <w:sz w:val="28"/>
          <w:szCs w:val="28"/>
        </w:rPr>
      </w:pPr>
    </w:p>
    <w:p w:rsidR="00A8787E" w:rsidRPr="00E06EE9" w:rsidRDefault="00A8787E">
      <w:pPr>
        <w:rPr>
          <w:sz w:val="28"/>
          <w:szCs w:val="28"/>
        </w:rPr>
      </w:pPr>
    </w:p>
    <w:p w:rsidR="00A8787E" w:rsidRPr="00E06EE9" w:rsidRDefault="00A8787E">
      <w:pPr>
        <w:rPr>
          <w:sz w:val="28"/>
          <w:szCs w:val="28"/>
        </w:rPr>
      </w:pPr>
    </w:p>
    <w:p w:rsidR="00A8787E" w:rsidRPr="00E06EE9" w:rsidRDefault="00A8787E" w:rsidP="00FD1C77">
      <w:pPr>
        <w:ind w:left="142"/>
        <w:jc w:val="both"/>
        <w:rPr>
          <w:sz w:val="28"/>
          <w:szCs w:val="28"/>
        </w:rPr>
      </w:pPr>
      <w:r w:rsidRPr="00E06EE9">
        <w:rPr>
          <w:sz w:val="28"/>
          <w:szCs w:val="28"/>
        </w:rPr>
        <w:t>В. о. начальника управління</w:t>
      </w:r>
    </w:p>
    <w:p w:rsidR="00A8787E" w:rsidRPr="00E06EE9" w:rsidRDefault="00A8787E" w:rsidP="00FD1C77">
      <w:pPr>
        <w:ind w:left="142"/>
        <w:jc w:val="both"/>
        <w:rPr>
          <w:sz w:val="28"/>
          <w:szCs w:val="28"/>
        </w:rPr>
      </w:pPr>
      <w:r w:rsidRPr="00E06EE9">
        <w:rPr>
          <w:sz w:val="28"/>
          <w:szCs w:val="28"/>
        </w:rPr>
        <w:t>правового забезпечення діяльності</w:t>
      </w:r>
    </w:p>
    <w:p w:rsidR="00A8787E" w:rsidRPr="00E06EE9" w:rsidRDefault="00A8787E" w:rsidP="00FD1C77">
      <w:pPr>
        <w:ind w:left="142"/>
        <w:jc w:val="both"/>
        <w:rPr>
          <w:sz w:val="28"/>
          <w:szCs w:val="28"/>
        </w:rPr>
      </w:pPr>
      <w:r w:rsidRPr="00E06EE9">
        <w:rPr>
          <w:sz w:val="28"/>
          <w:szCs w:val="28"/>
        </w:rPr>
        <w:t xml:space="preserve">Київської міської ради                                       </w:t>
      </w:r>
      <w:r w:rsidRPr="00E06EE9">
        <w:rPr>
          <w:b/>
          <w:sz w:val="28"/>
          <w:szCs w:val="28"/>
        </w:rPr>
        <w:t>Валентина ПОЛОЖИШНИК</w:t>
      </w:r>
    </w:p>
    <w:p w:rsidR="00A8787E" w:rsidRPr="00E06EE9" w:rsidRDefault="00A8787E">
      <w:pPr>
        <w:rPr>
          <w:sz w:val="28"/>
          <w:szCs w:val="28"/>
        </w:rPr>
      </w:pPr>
    </w:p>
    <w:sectPr w:rsidR="00A8787E" w:rsidRPr="00E06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98" w:rsidRDefault="00A11398">
      <w:r>
        <w:separator/>
      </w:r>
    </w:p>
  </w:endnote>
  <w:endnote w:type="continuationSeparator" w:id="0">
    <w:p w:rsidR="00A11398" w:rsidRDefault="00A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98" w:rsidRDefault="00A11398">
      <w:r>
        <w:separator/>
      </w:r>
    </w:p>
  </w:footnote>
  <w:footnote w:type="continuationSeparator" w:id="0">
    <w:p w:rsidR="00A11398" w:rsidRDefault="00A1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1A5"/>
    <w:multiLevelType w:val="multilevel"/>
    <w:tmpl w:val="09F4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C4"/>
    <w:rsid w:val="00017531"/>
    <w:rsid w:val="0007363F"/>
    <w:rsid w:val="00075CF0"/>
    <w:rsid w:val="00082F51"/>
    <w:rsid w:val="000A07DD"/>
    <w:rsid w:val="000B509F"/>
    <w:rsid w:val="000F672E"/>
    <w:rsid w:val="00156540"/>
    <w:rsid w:val="001D164E"/>
    <w:rsid w:val="001D1CCE"/>
    <w:rsid w:val="00232A83"/>
    <w:rsid w:val="0025708F"/>
    <w:rsid w:val="00295147"/>
    <w:rsid w:val="002B1295"/>
    <w:rsid w:val="002C7066"/>
    <w:rsid w:val="002F5143"/>
    <w:rsid w:val="00315785"/>
    <w:rsid w:val="003A1FD2"/>
    <w:rsid w:val="003A5699"/>
    <w:rsid w:val="003C1F51"/>
    <w:rsid w:val="003C41BD"/>
    <w:rsid w:val="003D1DE0"/>
    <w:rsid w:val="00407D0C"/>
    <w:rsid w:val="00412CEE"/>
    <w:rsid w:val="0042116D"/>
    <w:rsid w:val="00427164"/>
    <w:rsid w:val="00432B69"/>
    <w:rsid w:val="004D0DFE"/>
    <w:rsid w:val="004E713B"/>
    <w:rsid w:val="00531925"/>
    <w:rsid w:val="005A448F"/>
    <w:rsid w:val="005F4806"/>
    <w:rsid w:val="00650625"/>
    <w:rsid w:val="00686C30"/>
    <w:rsid w:val="00694364"/>
    <w:rsid w:val="006B4869"/>
    <w:rsid w:val="006B5E20"/>
    <w:rsid w:val="006C11B0"/>
    <w:rsid w:val="006D5114"/>
    <w:rsid w:val="006E052B"/>
    <w:rsid w:val="00704C3E"/>
    <w:rsid w:val="00744452"/>
    <w:rsid w:val="00781177"/>
    <w:rsid w:val="0078268E"/>
    <w:rsid w:val="007A4159"/>
    <w:rsid w:val="0082333F"/>
    <w:rsid w:val="0087111D"/>
    <w:rsid w:val="0088283D"/>
    <w:rsid w:val="0089725C"/>
    <w:rsid w:val="009514EB"/>
    <w:rsid w:val="009839F8"/>
    <w:rsid w:val="0099132C"/>
    <w:rsid w:val="009B07F5"/>
    <w:rsid w:val="009E0C31"/>
    <w:rsid w:val="009E2410"/>
    <w:rsid w:val="00A11398"/>
    <w:rsid w:val="00A12C7F"/>
    <w:rsid w:val="00A8418A"/>
    <w:rsid w:val="00A84FBE"/>
    <w:rsid w:val="00A8787E"/>
    <w:rsid w:val="00AB0CB2"/>
    <w:rsid w:val="00AC184D"/>
    <w:rsid w:val="00AE1DD0"/>
    <w:rsid w:val="00AE6A0D"/>
    <w:rsid w:val="00AF021A"/>
    <w:rsid w:val="00B00033"/>
    <w:rsid w:val="00B01C1F"/>
    <w:rsid w:val="00B1210C"/>
    <w:rsid w:val="00B45360"/>
    <w:rsid w:val="00B56D0F"/>
    <w:rsid w:val="00BC25FF"/>
    <w:rsid w:val="00C1042F"/>
    <w:rsid w:val="00C348F2"/>
    <w:rsid w:val="00CC0DD4"/>
    <w:rsid w:val="00D01EAC"/>
    <w:rsid w:val="00D36F13"/>
    <w:rsid w:val="00D82866"/>
    <w:rsid w:val="00DA2D9B"/>
    <w:rsid w:val="00DA6AC4"/>
    <w:rsid w:val="00DC40D5"/>
    <w:rsid w:val="00DD7996"/>
    <w:rsid w:val="00E06EE9"/>
    <w:rsid w:val="00E47A7F"/>
    <w:rsid w:val="00E64EC7"/>
    <w:rsid w:val="00E83A20"/>
    <w:rsid w:val="00E83AAF"/>
    <w:rsid w:val="00E946C7"/>
    <w:rsid w:val="00EA13DA"/>
    <w:rsid w:val="00F417AF"/>
    <w:rsid w:val="00F62914"/>
    <w:rsid w:val="00F82658"/>
    <w:rsid w:val="00F963FA"/>
    <w:rsid w:val="00FA64B3"/>
    <w:rsid w:val="00FD1C77"/>
    <w:rsid w:val="00FE7DF8"/>
    <w:rsid w:val="7BE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D6FD"/>
  <w15:docId w15:val="{A0771FEE-F828-433E-A1CC-990C0A1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86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511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9">
    <w:name w:val="rvts9"/>
    <w:basedOn w:val="a0"/>
    <w:rsid w:val="00082F51"/>
  </w:style>
  <w:style w:type="character" w:customStyle="1" w:styleId="rvts37">
    <w:name w:val="rvts37"/>
    <w:basedOn w:val="a0"/>
    <w:rsid w:val="00082F51"/>
  </w:style>
  <w:style w:type="character" w:styleId="a7">
    <w:name w:val="Hyperlink"/>
    <w:basedOn w:val="a0"/>
    <w:uiPriority w:val="99"/>
    <w:semiHidden/>
    <w:unhideWhenUsed/>
    <w:rsid w:val="00315785"/>
    <w:rPr>
      <w:color w:val="0000FF"/>
      <w:u w:val="single"/>
    </w:rPr>
  </w:style>
  <w:style w:type="paragraph" w:styleId="a8">
    <w:name w:val="List Paragraph"/>
    <w:basedOn w:val="a"/>
    <w:uiPriority w:val="99"/>
    <w:rsid w:val="00B121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114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rvps7">
    <w:name w:val="rvps7"/>
    <w:basedOn w:val="a"/>
    <w:rsid w:val="0099132C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99132C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basedOn w:val="a0"/>
    <w:rsid w:val="0099132C"/>
  </w:style>
  <w:style w:type="paragraph" w:customStyle="1" w:styleId="tj">
    <w:name w:val="tj"/>
    <w:basedOn w:val="a"/>
    <w:rsid w:val="00075CF0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6C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mr.gov.ua/uk/comisii/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misii/49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0B67-E7ED-4CF2-8D57-6404A541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440</Words>
  <Characters>2827</Characters>
  <Application>Microsoft Office Word</Application>
  <DocSecurity>0</DocSecurity>
  <Lines>49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Дяковська Марина Олександрівна</dc:creator>
  <cp:lastModifiedBy>Acer</cp:lastModifiedBy>
  <cp:revision>16</cp:revision>
  <cp:lastPrinted>2023-08-25T10:24:00Z</cp:lastPrinted>
  <dcterms:created xsi:type="dcterms:W3CDTF">2023-08-22T09:35:00Z</dcterms:created>
  <dcterms:modified xsi:type="dcterms:W3CDTF">2023-08-25T10:27:00Z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C62E349209174784A842134D0B8347A7</vt:lpwstr>
  </property>
</Properties>
</file>