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128C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196CE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517F4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9F59F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7D84F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87C1D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CDED0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91CC8" w14:textId="77777777" w:rsidR="00BF5C59" w:rsidRPr="002D6E77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DB93F8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7DB46" w14:textId="77777777" w:rsidR="00F10F79" w:rsidRDefault="00F10F7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0034C" w14:textId="77777777" w:rsidR="00F10F79" w:rsidRDefault="00F10F7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5A0D1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00BBB" w14:textId="3FA23B32" w:rsidR="008C5822" w:rsidRPr="0095283F" w:rsidRDefault="00A6646B" w:rsidP="00F10F79">
      <w:pPr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C5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90B5E" w:rsidRPr="00BF5C59">
        <w:rPr>
          <w:rFonts w:ascii="Times New Roman" w:hAnsi="Times New Roman" w:cs="Times New Roman"/>
          <w:b/>
          <w:bCs/>
          <w:sz w:val="28"/>
          <w:szCs w:val="28"/>
        </w:rPr>
        <w:t xml:space="preserve">визнання недійсним рішення Київської міської ради від </w:t>
      </w:r>
      <w:r w:rsidR="00C431CF">
        <w:rPr>
          <w:rFonts w:ascii="Times New Roman" w:hAnsi="Times New Roman" w:cs="Times New Roman"/>
          <w:b/>
          <w:bCs/>
          <w:sz w:val="28"/>
          <w:szCs w:val="28"/>
        </w:rPr>
        <w:t xml:space="preserve">08.02.2024 </w:t>
      </w:r>
      <w:r w:rsidR="00380D54">
        <w:rPr>
          <w:rFonts w:ascii="Times New Roman" w:hAnsi="Times New Roman" w:cs="Times New Roman"/>
          <w:b/>
          <w:bCs/>
          <w:sz w:val="28"/>
          <w:szCs w:val="28"/>
        </w:rPr>
        <w:t>№ 7750/7791</w:t>
      </w:r>
      <w:r w:rsidR="00952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0D5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80D54" w:rsidRPr="00380D54">
        <w:rPr>
          <w:rFonts w:ascii="Times New Roman" w:hAnsi="Times New Roman" w:cs="Times New Roman"/>
          <w:b/>
          <w:bCs/>
          <w:sz w:val="28"/>
          <w:szCs w:val="28"/>
        </w:rPr>
        <w:t>Про зміну цільового призначення земельної ділянки ТОВАРИСТВУ З ОБМЕЖЕНОЮ ВІДПОВІДАЛЬНІСТЮ «ДОРАДО» для реконструкції майнового комплексу в житловий комплекс з вбудовано-прибудованими об'єктами ринкової інфраструктури з подальшою їх експлуатацією та обслуговуванням на вул.</w:t>
      </w:r>
      <w:r w:rsidR="00380D5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80D54" w:rsidRPr="00380D54">
        <w:rPr>
          <w:rFonts w:ascii="Times New Roman" w:hAnsi="Times New Roman" w:cs="Times New Roman"/>
          <w:b/>
          <w:bCs/>
          <w:sz w:val="28"/>
          <w:szCs w:val="28"/>
        </w:rPr>
        <w:t>Автозаводській, 72а в Оболонському районі міста Києва</w:t>
      </w:r>
      <w:r w:rsidR="00380D5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80D54" w:rsidRPr="00380D54">
        <w:rPr>
          <w:rFonts w:ascii="Times New Roman" w:hAnsi="Times New Roman" w:cs="Times New Roman"/>
          <w:b/>
          <w:bCs/>
          <w:sz w:val="28"/>
          <w:szCs w:val="28"/>
        </w:rPr>
        <w:t xml:space="preserve"> (528839673)</w:t>
      </w:r>
    </w:p>
    <w:p w14:paraId="3E38D5E4" w14:textId="77777777" w:rsidR="00A6646B" w:rsidRDefault="00A6646B" w:rsidP="00A6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1BDD1" w14:textId="77777777" w:rsidR="00890B5E" w:rsidRDefault="00890B5E" w:rsidP="00A6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C9100" w14:textId="3521412F" w:rsidR="00BF5C59" w:rsidRDefault="00890B5E" w:rsidP="00BF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>Відповідно до статті 86, пункту 5 частини четвертої статті 89 Закону України «Про адміністративну процедуру»,</w:t>
      </w:r>
      <w:r w:rsidR="00456176" w:rsidRPr="00456176">
        <w:rPr>
          <w:rFonts w:ascii="Times New Roman" w:hAnsi="Times New Roman" w:cs="Times New Roman"/>
          <w:snapToGrid w:val="0"/>
          <w:sz w:val="28"/>
        </w:rPr>
        <w:t xml:space="preserve"> статей 9, 93, 96, 141 Земельного кодексу України, статті 31 Закону України «Про оренду землі», пункту 34 частини першої статті 26 Закону України «Про місцеве самоврядування в Україні»,</w:t>
      </w:r>
      <w:r w:rsidRPr="00456176">
        <w:rPr>
          <w:rFonts w:ascii="Times New Roman" w:hAnsi="Times New Roman" w:cs="Times New Roman"/>
          <w:sz w:val="28"/>
          <w:szCs w:val="28"/>
        </w:rPr>
        <w:t xml:space="preserve"> враховуючи</w:t>
      </w:r>
      <w:r w:rsidR="005E4B8E">
        <w:rPr>
          <w:rFonts w:ascii="Times New Roman" w:hAnsi="Times New Roman" w:cs="Times New Roman"/>
          <w:sz w:val="28"/>
          <w:szCs w:val="28"/>
        </w:rPr>
        <w:t xml:space="preserve"> </w:t>
      </w:r>
      <w:r w:rsidR="00380D54">
        <w:rPr>
          <w:rFonts w:ascii="Times New Roman" w:hAnsi="Times New Roman" w:cs="Times New Roman"/>
          <w:sz w:val="28"/>
          <w:szCs w:val="28"/>
        </w:rPr>
        <w:t xml:space="preserve">наявність на земельній ділянці із кадастровим номером </w:t>
      </w:r>
      <w:r w:rsidR="00380D54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8000000000:</w:t>
      </w:r>
      <w:r w:rsidR="00380D54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78</w:t>
      </w:r>
      <w:r w:rsidR="00380D54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:0</w:t>
      </w:r>
      <w:r w:rsidR="00380D54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18</w:t>
      </w:r>
      <w:r w:rsidR="00380D54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:00</w:t>
      </w:r>
      <w:r w:rsidR="00380D54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03</w:t>
      </w:r>
      <w:r w:rsidR="00380D54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;</w:t>
      </w:r>
      <w:r w:rsidR="00380D54" w:rsidRPr="00FE2397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380D54" w:rsidRPr="00FE2397">
        <w:rPr>
          <w:rFonts w:ascii="Times New Roman" w:hAnsi="Times New Roman" w:cs="Times New Roman"/>
          <w:sz w:val="28"/>
          <w:szCs w:val="28"/>
        </w:rPr>
        <w:t>площа 0,</w:t>
      </w:r>
      <w:r w:rsidR="00380D54">
        <w:rPr>
          <w:rFonts w:ascii="Times New Roman" w:hAnsi="Times New Roman" w:cs="Times New Roman"/>
          <w:sz w:val="28"/>
          <w:szCs w:val="28"/>
        </w:rPr>
        <w:t>8621</w:t>
      </w:r>
      <w:r w:rsidR="00380D54" w:rsidRPr="00FE2397">
        <w:rPr>
          <w:rFonts w:ascii="Times New Roman" w:hAnsi="Times New Roman" w:cs="Times New Roman"/>
          <w:sz w:val="28"/>
          <w:szCs w:val="28"/>
        </w:rPr>
        <w:t xml:space="preserve"> га</w:t>
      </w:r>
      <w:r w:rsidR="00380D54">
        <w:rPr>
          <w:rFonts w:ascii="Times New Roman" w:hAnsi="Times New Roman" w:cs="Times New Roman"/>
          <w:sz w:val="28"/>
          <w:szCs w:val="28"/>
        </w:rPr>
        <w:t xml:space="preserve"> </w:t>
      </w:r>
      <w:r w:rsidR="00380D54" w:rsidRPr="00380D54">
        <w:rPr>
          <w:rFonts w:ascii="Times New Roman" w:hAnsi="Times New Roman" w:cs="Times New Roman"/>
          <w:sz w:val="28"/>
          <w:szCs w:val="28"/>
        </w:rPr>
        <w:t>на вул. Автозаводській, 72а в Оболонському районі міста Києва</w:t>
      </w:r>
      <w:r w:rsidR="000B6E15">
        <w:rPr>
          <w:rFonts w:ascii="Times New Roman" w:hAnsi="Times New Roman" w:cs="Times New Roman"/>
          <w:sz w:val="28"/>
          <w:szCs w:val="28"/>
        </w:rPr>
        <w:t xml:space="preserve">, переданій в оренду </w:t>
      </w:r>
      <w:r w:rsidR="000B6E15" w:rsidRPr="000B6E15"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 «ДОРАДО»</w:t>
      </w:r>
      <w:r w:rsidR="000B6E15">
        <w:rPr>
          <w:rFonts w:ascii="Times New Roman" w:hAnsi="Times New Roman" w:cs="Times New Roman"/>
          <w:sz w:val="28"/>
          <w:szCs w:val="28"/>
        </w:rPr>
        <w:t xml:space="preserve">, яка в </w:t>
      </w:r>
      <w:proofErr w:type="spellStart"/>
      <w:r w:rsidR="000B6E15">
        <w:rPr>
          <w:rFonts w:ascii="Times New Roman" w:hAnsi="Times New Roman" w:cs="Times New Roman"/>
          <w:sz w:val="28"/>
          <w:szCs w:val="28"/>
        </w:rPr>
        <w:t>поджальшому</w:t>
      </w:r>
      <w:proofErr w:type="spellEnd"/>
      <w:r w:rsidR="000B6E15">
        <w:rPr>
          <w:rFonts w:ascii="Times New Roman" w:hAnsi="Times New Roman" w:cs="Times New Roman"/>
          <w:sz w:val="28"/>
          <w:szCs w:val="28"/>
        </w:rPr>
        <w:t xml:space="preserve"> перейшла в оренду </w:t>
      </w:r>
      <w:r w:rsidR="000B6E15" w:rsidRPr="000B6E15"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 «</w:t>
      </w:r>
      <w:r w:rsidR="000B6E15">
        <w:rPr>
          <w:rFonts w:ascii="Times New Roman" w:hAnsi="Times New Roman" w:cs="Times New Roman"/>
          <w:sz w:val="28"/>
          <w:szCs w:val="28"/>
        </w:rPr>
        <w:t>ГЕФЕСТ-ОБОЛОНЬ</w:t>
      </w:r>
      <w:r w:rsidR="000B6E15" w:rsidRPr="000B6E15">
        <w:rPr>
          <w:rFonts w:ascii="Times New Roman" w:hAnsi="Times New Roman" w:cs="Times New Roman"/>
          <w:sz w:val="28"/>
          <w:szCs w:val="28"/>
        </w:rPr>
        <w:t>»</w:t>
      </w:r>
      <w:r w:rsidR="00380D54">
        <w:rPr>
          <w:rFonts w:ascii="Times New Roman" w:hAnsi="Times New Roman" w:cs="Times New Roman"/>
          <w:sz w:val="28"/>
          <w:szCs w:val="28"/>
        </w:rPr>
        <w:t xml:space="preserve"> тимчасових споруд</w:t>
      </w:r>
      <w:r w:rsidR="00E6623A">
        <w:rPr>
          <w:rFonts w:ascii="Times New Roman" w:hAnsi="Times New Roman" w:cs="Times New Roman"/>
          <w:sz w:val="28"/>
          <w:szCs w:val="28"/>
        </w:rPr>
        <w:t xml:space="preserve"> (лист Департаменту територіального контролю виконавчого органу Київської міської ради (Київської міської державної адміністрації) від 20.03.2025 № 073-905), які зареєстровані як об’єкти нерухомого майна, що </w:t>
      </w:r>
      <w:r w:rsidR="00216F73">
        <w:rPr>
          <w:rFonts w:ascii="Times New Roman" w:hAnsi="Times New Roman" w:cs="Times New Roman"/>
          <w:sz w:val="28"/>
          <w:szCs w:val="28"/>
        </w:rPr>
        <w:t xml:space="preserve">в свою чергу </w:t>
      </w:r>
      <w:r w:rsidR="00456176">
        <w:rPr>
          <w:rFonts w:ascii="Times New Roman" w:hAnsi="Times New Roman" w:cs="Times New Roman"/>
          <w:sz w:val="28"/>
          <w:szCs w:val="28"/>
        </w:rPr>
        <w:t>стало</w:t>
      </w:r>
      <w:r w:rsidR="00BF5C59">
        <w:rPr>
          <w:rFonts w:ascii="Times New Roman" w:hAnsi="Times New Roman" w:cs="Times New Roman"/>
          <w:sz w:val="28"/>
          <w:szCs w:val="28"/>
        </w:rPr>
        <w:t xml:space="preserve"> підставою для </w:t>
      </w:r>
      <w:r w:rsidR="00E6623A">
        <w:rPr>
          <w:rFonts w:ascii="Times New Roman" w:hAnsi="Times New Roman" w:cs="Times New Roman"/>
          <w:sz w:val="28"/>
          <w:szCs w:val="28"/>
        </w:rPr>
        <w:t xml:space="preserve">зміни цільового призначення вказаної земельної ділянки та фактичну її передачу </w:t>
      </w:r>
      <w:r w:rsidR="00BF5C59">
        <w:rPr>
          <w:rFonts w:ascii="Times New Roman" w:hAnsi="Times New Roman" w:cs="Times New Roman"/>
          <w:sz w:val="28"/>
          <w:szCs w:val="28"/>
        </w:rPr>
        <w:t xml:space="preserve">за позаконкурсною процедурою </w:t>
      </w:r>
      <w:r w:rsidR="00216F73" w:rsidRPr="00663571">
        <w:rPr>
          <w:rFonts w:ascii="Times New Roman" w:hAnsi="Times New Roman" w:cs="Times New Roman"/>
          <w:sz w:val="28"/>
          <w:szCs w:val="28"/>
        </w:rPr>
        <w:t>для цілей, які не пов’язані із експлуатацією та обслуговуванням вказаного майна, а власне розмір земельної ділянки значно перевищує площу об’єкта нерухомого майна</w:t>
      </w:r>
      <w:r w:rsidR="00F10F79">
        <w:rPr>
          <w:rFonts w:ascii="Times New Roman" w:hAnsi="Times New Roman" w:cs="Times New Roman"/>
          <w:sz w:val="28"/>
          <w:szCs w:val="28"/>
        </w:rPr>
        <w:t xml:space="preserve"> (1334,2 </w:t>
      </w:r>
      <w:proofErr w:type="spellStart"/>
      <w:r w:rsidR="00F10F7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10F79">
        <w:rPr>
          <w:rFonts w:ascii="Times New Roman" w:hAnsi="Times New Roman" w:cs="Times New Roman"/>
          <w:sz w:val="28"/>
          <w:szCs w:val="28"/>
        </w:rPr>
        <w:t>.)</w:t>
      </w:r>
      <w:r w:rsidR="00216F73" w:rsidRPr="00663571">
        <w:rPr>
          <w:rFonts w:ascii="Times New Roman" w:hAnsi="Times New Roman" w:cs="Times New Roman"/>
          <w:sz w:val="28"/>
          <w:szCs w:val="28"/>
        </w:rPr>
        <w:t xml:space="preserve">, на ній розташованого, що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 </w:t>
      </w:r>
      <w:r w:rsidR="00BF5C59">
        <w:rPr>
          <w:rFonts w:ascii="Times New Roman" w:hAnsi="Times New Roman" w:cs="Times New Roman"/>
          <w:sz w:val="28"/>
          <w:szCs w:val="28"/>
        </w:rPr>
        <w:t xml:space="preserve">Київська міська рада </w:t>
      </w:r>
    </w:p>
    <w:p w14:paraId="784F953B" w14:textId="77777777" w:rsidR="00890B5E" w:rsidRPr="00BF5C59" w:rsidRDefault="00890B5E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F9B09" w14:textId="54F2BA81" w:rsidR="00A6646B" w:rsidRPr="00BF5C59" w:rsidRDefault="00BF5C59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F5C5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105878E5" w14:textId="77777777" w:rsidR="00BF5C59" w:rsidRPr="00BF5C59" w:rsidRDefault="00BF5C59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A9C1C" w14:textId="274F3309" w:rsidR="00A6646B" w:rsidRPr="00A6646B" w:rsidRDefault="00BF5C59" w:rsidP="00A6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0B5E">
        <w:rPr>
          <w:rFonts w:ascii="Times New Roman" w:hAnsi="Times New Roman" w:cs="Times New Roman"/>
          <w:sz w:val="28"/>
          <w:szCs w:val="28"/>
        </w:rPr>
        <w:t>Визнати недійсним</w:t>
      </w:r>
      <w:r w:rsidR="00A6646B" w:rsidRPr="00A6646B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</w:t>
      </w:r>
      <w:r w:rsidR="00380D54" w:rsidRPr="00380D54">
        <w:rPr>
          <w:rFonts w:ascii="Times New Roman" w:hAnsi="Times New Roman" w:cs="Times New Roman"/>
          <w:sz w:val="28"/>
          <w:szCs w:val="28"/>
        </w:rPr>
        <w:t>від 08.02.2024 № 7750/7791 «Про зміну цільового призначення земельної ділянки ТОВАРИСТВУ З ОБМЕЖЕНОЮ ВІДПОВІДАЛЬНІСТЮ «ДОРАДО» для реконструкції майнового комплексу в житловий комплекс з вбудовано-прибудованими об'єктами ринкової інфраструктури з подальшою їх експлуатацією та обслуговуванням на вул. Автозаводській, 72а в Оболонському районі міста Києва» (528839673)</w:t>
      </w:r>
      <w:r w:rsidR="00890B5E">
        <w:rPr>
          <w:rFonts w:ascii="Times New Roman" w:hAnsi="Times New Roman" w:cs="Times New Roman"/>
          <w:sz w:val="28"/>
          <w:szCs w:val="28"/>
        </w:rPr>
        <w:t xml:space="preserve"> </w:t>
      </w:r>
      <w:r w:rsidR="00890B5E" w:rsidRPr="00890B5E">
        <w:rPr>
          <w:rFonts w:ascii="Times New Roman" w:hAnsi="Times New Roman" w:cs="Times New Roman"/>
          <w:sz w:val="28"/>
          <w:szCs w:val="28"/>
        </w:rPr>
        <w:t xml:space="preserve">із зворотною дією в часі (тобто з дня набрання </w:t>
      </w:r>
      <w:r w:rsidR="00890B5E">
        <w:rPr>
          <w:rFonts w:ascii="Times New Roman" w:hAnsi="Times New Roman" w:cs="Times New Roman"/>
          <w:sz w:val="28"/>
          <w:szCs w:val="28"/>
        </w:rPr>
        <w:t xml:space="preserve">ним </w:t>
      </w:r>
      <w:r w:rsidR="00890B5E" w:rsidRPr="00890B5E">
        <w:rPr>
          <w:rFonts w:ascii="Times New Roman" w:hAnsi="Times New Roman" w:cs="Times New Roman"/>
          <w:sz w:val="28"/>
          <w:szCs w:val="28"/>
        </w:rPr>
        <w:t>чинності)</w:t>
      </w:r>
      <w:r w:rsidR="00A6646B" w:rsidRPr="00A6646B">
        <w:rPr>
          <w:rFonts w:ascii="Times New Roman" w:hAnsi="Times New Roman" w:cs="Times New Roman"/>
          <w:sz w:val="28"/>
          <w:szCs w:val="28"/>
        </w:rPr>
        <w:t>.</w:t>
      </w:r>
    </w:p>
    <w:p w14:paraId="63352006" w14:textId="77777777" w:rsidR="00A6646B" w:rsidRDefault="00A6646B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FACE4" w14:textId="23115911" w:rsidR="00456176" w:rsidRPr="00FE2397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97">
        <w:rPr>
          <w:rFonts w:ascii="Times New Roman" w:hAnsi="Times New Roman" w:cs="Times New Roman"/>
          <w:sz w:val="28"/>
          <w:szCs w:val="28"/>
        </w:rPr>
        <w:t xml:space="preserve">2. Розірвати договір </w:t>
      </w:r>
      <w:r w:rsidR="00380D54">
        <w:rPr>
          <w:rFonts w:ascii="Times New Roman" w:hAnsi="Times New Roman" w:cs="Times New Roman"/>
          <w:sz w:val="28"/>
          <w:szCs w:val="28"/>
        </w:rPr>
        <w:t xml:space="preserve">про внесення змін до договору </w:t>
      </w:r>
      <w:r w:rsidRPr="00FE2397">
        <w:rPr>
          <w:rFonts w:ascii="Times New Roman" w:hAnsi="Times New Roman" w:cs="Times New Roman"/>
          <w:sz w:val="28"/>
          <w:szCs w:val="28"/>
        </w:rPr>
        <w:t xml:space="preserve">оренди земельної ділянки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від </w:t>
      </w:r>
      <w:r w:rsidR="00380D54">
        <w:rPr>
          <w:rFonts w:ascii="Times New Roman" w:hAnsi="Times New Roman" w:cs="Times New Roman"/>
          <w:bCs/>
          <w:sz w:val="28"/>
          <w:szCs w:val="28"/>
        </w:rPr>
        <w:t>12.07</w:t>
      </w:r>
      <w:r w:rsidR="002D6E77">
        <w:rPr>
          <w:rFonts w:ascii="Times New Roman" w:hAnsi="Times New Roman" w:cs="Times New Roman"/>
          <w:bCs/>
          <w:sz w:val="28"/>
          <w:szCs w:val="28"/>
        </w:rPr>
        <w:t>.2024 № </w:t>
      </w:r>
      <w:r w:rsidR="00380D54">
        <w:rPr>
          <w:rFonts w:ascii="Times New Roman" w:hAnsi="Times New Roman" w:cs="Times New Roman"/>
          <w:bCs/>
          <w:sz w:val="28"/>
          <w:szCs w:val="28"/>
        </w:rPr>
        <w:t>2880</w:t>
      </w:r>
      <w:r w:rsidR="00FE2397" w:rsidRPr="00FE23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укладений між Київською міською радою та </w:t>
      </w:r>
      <w:r w:rsidR="00FE2397" w:rsidRPr="00456176">
        <w:rPr>
          <w:rFonts w:ascii="Times New Roman" w:hAnsi="Times New Roman" w:cs="Times New Roman"/>
          <w:sz w:val="28"/>
          <w:szCs w:val="28"/>
        </w:rPr>
        <w:t>ТОВАРИСТВОМ З ОБМЕЖЕНОЮ ВІДПОВІДАЛЬНІСТЮ</w:t>
      </w:r>
      <w:r w:rsidR="00FE2397" w:rsidRPr="00A6646B">
        <w:rPr>
          <w:rFonts w:ascii="Times New Roman" w:hAnsi="Times New Roman" w:cs="Times New Roman"/>
          <w:sz w:val="28"/>
          <w:szCs w:val="28"/>
        </w:rPr>
        <w:t xml:space="preserve"> «</w:t>
      </w:r>
      <w:r w:rsidR="00380D54">
        <w:rPr>
          <w:rFonts w:ascii="Times New Roman" w:hAnsi="Times New Roman" w:cs="Times New Roman"/>
          <w:sz w:val="28"/>
          <w:szCs w:val="28"/>
        </w:rPr>
        <w:t>ДОРАДО</w:t>
      </w:r>
      <w:r w:rsidR="00FE2397" w:rsidRPr="00A6646B">
        <w:rPr>
          <w:rFonts w:ascii="Times New Roman" w:hAnsi="Times New Roman" w:cs="Times New Roman"/>
          <w:sz w:val="28"/>
          <w:szCs w:val="28"/>
        </w:rPr>
        <w:t>»</w:t>
      </w:r>
      <w:r w:rsidR="00FE2397">
        <w:rPr>
          <w:rFonts w:ascii="Times New Roman" w:hAnsi="Times New Roman" w:cs="Times New Roman"/>
          <w:sz w:val="28"/>
          <w:szCs w:val="28"/>
        </w:rPr>
        <w:t xml:space="preserve">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для </w:t>
      </w:r>
      <w:r w:rsidR="00380D54" w:rsidRPr="00380D54">
        <w:rPr>
          <w:rFonts w:ascii="Times New Roman" w:hAnsi="Times New Roman" w:cs="Times New Roman"/>
          <w:sz w:val="28"/>
          <w:szCs w:val="28"/>
        </w:rPr>
        <w:t>реконструкції майнового комплексу в житловий комплекс з вбудовано-прибудованими об'єктами ринкової інфраструктури з подальшою їх експлуатацією та обслуговуванням на вул. Автозаводській, 72а в Оболонському районі міста Києва</w:t>
      </w:r>
      <w:r w:rsidR="00380D54" w:rsidRPr="00FE2397">
        <w:rPr>
          <w:rFonts w:ascii="Times New Roman" w:hAnsi="Times New Roman" w:cs="Times New Roman"/>
          <w:sz w:val="28"/>
          <w:szCs w:val="28"/>
        </w:rPr>
        <w:t xml:space="preserve">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bookmarkStart w:id="0" w:name="_Hlk167349754"/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8000000000:</w:t>
      </w:r>
      <w:r w:rsidR="00380D54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78</w:t>
      </w:r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:0</w:t>
      </w:r>
      <w:r w:rsidR="002D6E7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380D54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8</w:t>
      </w:r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:00</w:t>
      </w:r>
      <w:bookmarkEnd w:id="0"/>
      <w:r w:rsidR="00380D54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03</w:t>
      </w:r>
      <w:r w:rsidR="00FE2397"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;</w:t>
      </w:r>
      <w:r w:rsidR="00FE2397" w:rsidRPr="00FE2397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FE2397" w:rsidRPr="00FE2397">
        <w:rPr>
          <w:rFonts w:ascii="Times New Roman" w:hAnsi="Times New Roman" w:cs="Times New Roman"/>
          <w:sz w:val="28"/>
          <w:szCs w:val="28"/>
        </w:rPr>
        <w:t>площа 0,</w:t>
      </w:r>
      <w:r w:rsidR="00380D54">
        <w:rPr>
          <w:rFonts w:ascii="Times New Roman" w:hAnsi="Times New Roman" w:cs="Times New Roman"/>
          <w:sz w:val="28"/>
          <w:szCs w:val="28"/>
        </w:rPr>
        <w:t>8621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 га; </w:t>
      </w:r>
      <w:r w:rsidR="00FE2397" w:rsidRPr="00FE2397">
        <w:rPr>
          <w:rFonts w:ascii="Times New Roman" w:hAnsi="Times New Roman" w:cs="Times New Roman"/>
          <w:iCs/>
          <w:sz w:val="28"/>
          <w:szCs w:val="28"/>
        </w:rPr>
        <w:t xml:space="preserve">категорія земель – землі житлової та  громадської забудови; код виду цільового призначення – </w:t>
      </w:r>
      <w:r w:rsidR="00380D54">
        <w:rPr>
          <w:rFonts w:ascii="Times New Roman" w:hAnsi="Times New Roman" w:cs="Times New Roman"/>
          <w:iCs/>
          <w:sz w:val="28"/>
          <w:szCs w:val="28"/>
        </w:rPr>
        <w:t>02.10</w:t>
      </w:r>
      <w:r w:rsidR="00FE2397" w:rsidRPr="00FE2397">
        <w:rPr>
          <w:rFonts w:ascii="Times New Roman" w:hAnsi="Times New Roman" w:cs="Times New Roman"/>
          <w:sz w:val="28"/>
          <w:szCs w:val="28"/>
        </w:rPr>
        <w:t>; справа</w:t>
      </w:r>
      <w:r w:rsidR="00FE2397">
        <w:rPr>
          <w:rFonts w:ascii="Times New Roman" w:hAnsi="Times New Roman" w:cs="Times New Roman"/>
          <w:sz w:val="28"/>
          <w:szCs w:val="28"/>
        </w:rPr>
        <w:t xml:space="preserve"> </w:t>
      </w:r>
      <w:r w:rsidR="00FE2397" w:rsidRPr="00FE2397">
        <w:rPr>
          <w:rFonts w:ascii="Times New Roman" w:hAnsi="Times New Roman" w:cs="Times New Roman"/>
          <w:sz w:val="28"/>
          <w:szCs w:val="28"/>
        </w:rPr>
        <w:t xml:space="preserve">№ </w:t>
      </w:r>
      <w:r w:rsidR="00380D54" w:rsidRPr="00380D54">
        <w:rPr>
          <w:rFonts w:ascii="Times New Roman" w:hAnsi="Times New Roman" w:cs="Times New Roman"/>
          <w:sz w:val="28"/>
          <w:szCs w:val="28"/>
        </w:rPr>
        <w:t>528839673</w:t>
      </w:r>
      <w:r w:rsidR="00FE2397" w:rsidRPr="00FE2397">
        <w:rPr>
          <w:rFonts w:ascii="Times New Roman" w:hAnsi="Times New Roman" w:cs="Times New Roman"/>
          <w:sz w:val="28"/>
          <w:szCs w:val="28"/>
        </w:rPr>
        <w:t>)</w:t>
      </w:r>
      <w:r w:rsidR="00FE2397">
        <w:rPr>
          <w:rFonts w:ascii="Times New Roman" w:hAnsi="Times New Roman" w:cs="Times New Roman"/>
          <w:sz w:val="28"/>
          <w:szCs w:val="28"/>
        </w:rPr>
        <w:t>.</w:t>
      </w:r>
    </w:p>
    <w:p w14:paraId="63D5A1F5" w14:textId="77777777" w:rsid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6CF9E" w14:textId="77777777" w:rsidR="00456176" w:rsidRDefault="00456176" w:rsidP="00456176">
      <w:pPr>
        <w:pStyle w:val="21"/>
        <w:ind w:firstLine="709"/>
        <w:jc w:val="both"/>
        <w:rPr>
          <w:bCs/>
          <w:sz w:val="28"/>
          <w:szCs w:val="28"/>
          <w:lang w:val="uk-UA" w:bidi="uk-UA"/>
        </w:rPr>
      </w:pPr>
      <w:r>
        <w:rPr>
          <w:bCs/>
          <w:sz w:val="28"/>
          <w:szCs w:val="28"/>
          <w:lang w:val="uk-UA" w:bidi="uk-UA"/>
        </w:rPr>
        <w:t xml:space="preserve">3. </w:t>
      </w:r>
      <w:r w:rsidRPr="00A84729">
        <w:rPr>
          <w:bCs/>
          <w:sz w:val="28"/>
          <w:szCs w:val="28"/>
          <w:lang w:val="uk-UA" w:bidi="uk-UA"/>
        </w:rPr>
        <w:t>Департаменту земельних ресурсів виконавчого органу Київської міської ради (Київської міської державної адміністрації):</w:t>
      </w:r>
    </w:p>
    <w:p w14:paraId="374F9361" w14:textId="53A85EDE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3.1. Це рішення довести до відома </w:t>
      </w:r>
      <w:r w:rsidRPr="00A6646B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646B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</w:t>
      </w:r>
      <w:r w:rsidR="00380D54">
        <w:rPr>
          <w:rFonts w:ascii="Times New Roman" w:hAnsi="Times New Roman" w:cs="Times New Roman"/>
          <w:sz w:val="28"/>
          <w:szCs w:val="28"/>
        </w:rPr>
        <w:t>ДОРАДО</w:t>
      </w:r>
      <w:r w:rsidRPr="00A6646B">
        <w:rPr>
          <w:rFonts w:ascii="Times New Roman" w:hAnsi="Times New Roman" w:cs="Times New Roman"/>
          <w:sz w:val="28"/>
          <w:szCs w:val="28"/>
        </w:rPr>
        <w:t>»</w:t>
      </w:r>
      <w:r w:rsidR="000B6E15">
        <w:rPr>
          <w:rFonts w:ascii="Times New Roman" w:hAnsi="Times New Roman" w:cs="Times New Roman"/>
          <w:sz w:val="28"/>
          <w:szCs w:val="28"/>
        </w:rPr>
        <w:t xml:space="preserve"> та </w:t>
      </w:r>
      <w:r w:rsidR="000B6E15" w:rsidRPr="000B6E15">
        <w:rPr>
          <w:rFonts w:ascii="Times New Roman" w:hAnsi="Times New Roman" w:cs="Times New Roman"/>
          <w:sz w:val="28"/>
          <w:szCs w:val="28"/>
        </w:rPr>
        <w:t>ТОВАРИСТВ</w:t>
      </w:r>
      <w:r w:rsidR="000B6E15">
        <w:rPr>
          <w:rFonts w:ascii="Times New Roman" w:hAnsi="Times New Roman" w:cs="Times New Roman"/>
          <w:sz w:val="28"/>
          <w:szCs w:val="28"/>
        </w:rPr>
        <w:t>А</w:t>
      </w:r>
      <w:r w:rsidR="000B6E15" w:rsidRPr="000B6E15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</w:t>
      </w:r>
      <w:r w:rsidR="000B6E15">
        <w:rPr>
          <w:rFonts w:ascii="Times New Roman" w:hAnsi="Times New Roman" w:cs="Times New Roman"/>
          <w:sz w:val="28"/>
          <w:szCs w:val="28"/>
        </w:rPr>
        <w:t>ГЕФЕСТ-ОБОЛОНЬ</w:t>
      </w:r>
      <w:r w:rsidR="000B6E15" w:rsidRPr="000B6E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176">
        <w:rPr>
          <w:rFonts w:ascii="Times New Roman" w:hAnsi="Times New Roman" w:cs="Times New Roman"/>
          <w:bCs/>
          <w:sz w:val="28"/>
          <w:szCs w:val="28"/>
          <w:lang w:bidi="uk-UA"/>
        </w:rPr>
        <w:t>шляхом надсилання його поштою (рекомендованим листом з повідомленням про вручення).</w:t>
      </w:r>
    </w:p>
    <w:p w14:paraId="02D5CA4E" w14:textId="5028BF03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 xml:space="preserve">3.2. Вчинити відповідні </w:t>
      </w:r>
      <w:r w:rsidR="00380D54">
        <w:rPr>
          <w:rFonts w:ascii="Times New Roman" w:hAnsi="Times New Roman" w:cs="Times New Roman"/>
          <w:sz w:val="28"/>
          <w:szCs w:val="28"/>
        </w:rPr>
        <w:t xml:space="preserve">організаційно-правові </w:t>
      </w:r>
      <w:r w:rsidRPr="00456176">
        <w:rPr>
          <w:rFonts w:ascii="Times New Roman" w:hAnsi="Times New Roman" w:cs="Times New Roman"/>
          <w:sz w:val="28"/>
          <w:szCs w:val="28"/>
        </w:rPr>
        <w:t xml:space="preserve">дії </w:t>
      </w:r>
      <w:r w:rsidR="00380D54">
        <w:rPr>
          <w:rFonts w:ascii="Times New Roman" w:hAnsi="Times New Roman" w:cs="Times New Roman"/>
          <w:sz w:val="28"/>
          <w:szCs w:val="28"/>
        </w:rPr>
        <w:t>на виконання пунктів 1 та 2 цього рішення</w:t>
      </w:r>
      <w:r w:rsidRPr="00456176">
        <w:rPr>
          <w:rFonts w:ascii="Times New Roman" w:hAnsi="Times New Roman" w:cs="Times New Roman"/>
          <w:sz w:val="28"/>
          <w:szCs w:val="28"/>
        </w:rPr>
        <w:t>.</w:t>
      </w:r>
      <w:r w:rsidRPr="004561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762FA19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ED28C" w14:textId="5266668C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 xml:space="preserve">4. Дане  рішення набирає чинності з дня доведення його до відома </w:t>
      </w:r>
      <w:r w:rsidRPr="00A6646B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646B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</w:t>
      </w:r>
      <w:r w:rsidR="00380D54">
        <w:rPr>
          <w:rFonts w:ascii="Times New Roman" w:hAnsi="Times New Roman" w:cs="Times New Roman"/>
          <w:sz w:val="28"/>
          <w:szCs w:val="28"/>
        </w:rPr>
        <w:t>ДОРАДО</w:t>
      </w:r>
      <w:r w:rsidRPr="00A6646B">
        <w:rPr>
          <w:rFonts w:ascii="Times New Roman" w:hAnsi="Times New Roman" w:cs="Times New Roman"/>
          <w:sz w:val="28"/>
          <w:szCs w:val="28"/>
        </w:rPr>
        <w:t>»</w:t>
      </w:r>
      <w:r w:rsidR="000B6E15">
        <w:rPr>
          <w:rFonts w:ascii="Times New Roman" w:hAnsi="Times New Roman" w:cs="Times New Roman"/>
          <w:sz w:val="28"/>
          <w:szCs w:val="28"/>
        </w:rPr>
        <w:t xml:space="preserve"> та </w:t>
      </w:r>
      <w:r w:rsidR="000B6E15" w:rsidRPr="000B6E15">
        <w:rPr>
          <w:rFonts w:ascii="Times New Roman" w:hAnsi="Times New Roman" w:cs="Times New Roman"/>
          <w:sz w:val="28"/>
          <w:szCs w:val="28"/>
        </w:rPr>
        <w:t>ТОВАРИСТВ</w:t>
      </w:r>
      <w:r w:rsidR="000B6E15">
        <w:rPr>
          <w:rFonts w:ascii="Times New Roman" w:hAnsi="Times New Roman" w:cs="Times New Roman"/>
          <w:sz w:val="28"/>
          <w:szCs w:val="28"/>
        </w:rPr>
        <w:t>А</w:t>
      </w:r>
      <w:r w:rsidR="000B6E15" w:rsidRPr="000B6E15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</w:t>
      </w:r>
      <w:r w:rsidR="000B6E15">
        <w:rPr>
          <w:rFonts w:ascii="Times New Roman" w:hAnsi="Times New Roman" w:cs="Times New Roman"/>
          <w:sz w:val="28"/>
          <w:szCs w:val="28"/>
        </w:rPr>
        <w:t>ГЕФЕСТ-ОБОЛОНЬ</w:t>
      </w:r>
      <w:r w:rsidR="000B6E15" w:rsidRPr="000B6E15">
        <w:rPr>
          <w:rFonts w:ascii="Times New Roman" w:hAnsi="Times New Roman" w:cs="Times New Roman"/>
          <w:sz w:val="28"/>
          <w:szCs w:val="28"/>
        </w:rPr>
        <w:t>»</w:t>
      </w:r>
      <w:r w:rsidRPr="004561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3E735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03840" w14:textId="30902F65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 xml:space="preserve">5. Рішення Київської міської ради може бути оскаржено до Київського окружного адміністративного суду, який знаходиться за </w:t>
      </w:r>
      <w:proofErr w:type="spellStart"/>
      <w:r w:rsidRPr="0045617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561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6176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Pr="00456176">
        <w:rPr>
          <w:rFonts w:ascii="Times New Roman" w:hAnsi="Times New Roman" w:cs="Times New Roman"/>
          <w:sz w:val="28"/>
          <w:szCs w:val="28"/>
        </w:rPr>
        <w:t>. Лесі Українки, 26a, м. Київ, 01133, шляхом подання позовної заяви відповідно до     вимог Кодексу адміністративного судочинства України.</w:t>
      </w:r>
    </w:p>
    <w:p w14:paraId="729AD599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>Відповідно до частини четвертої статті 150 Кодексу адміністративного судочинства України подання позову, а також відкриття провадження в адміністративній справі не зупиняють дію оскаржуваного рішення суб’єкта владних повноважень, якщо суд не застосував відповідні заходи забезпечення позову.</w:t>
      </w:r>
    </w:p>
    <w:p w14:paraId="2DE41D9A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1536E" w14:textId="5EA9A9CE" w:rsidR="00456176" w:rsidRPr="00C431CF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 xml:space="preserve">6.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Pr="00456176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Pr="00456176">
        <w:rPr>
          <w:rFonts w:ascii="Times New Roman" w:hAnsi="Times New Roman" w:cs="Times New Roman"/>
          <w:sz w:val="28"/>
          <w:szCs w:val="28"/>
        </w:rPr>
        <w:t xml:space="preserve"> та земельних відносин.</w:t>
      </w:r>
    </w:p>
    <w:p w14:paraId="02EA7EC1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5"/>
      </w:tblGrid>
      <w:tr w:rsidR="00456176" w:rsidRPr="00456176" w14:paraId="64F90FE1" w14:textId="77777777" w:rsidTr="00456176">
        <w:tc>
          <w:tcPr>
            <w:tcW w:w="4927" w:type="dxa"/>
            <w:hideMark/>
          </w:tcPr>
          <w:p w14:paraId="790D52C7" w14:textId="77777777" w:rsidR="00456176" w:rsidRPr="00456176" w:rsidRDefault="00456176" w:rsidP="00FE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176">
              <w:rPr>
                <w:rFonts w:ascii="Times New Roman" w:hAnsi="Times New Roman" w:cs="Times New Roman"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927" w:type="dxa"/>
            <w:hideMark/>
          </w:tcPr>
          <w:p w14:paraId="0F2DA3FE" w14:textId="77777777" w:rsidR="00456176" w:rsidRPr="00456176" w:rsidRDefault="00456176" w:rsidP="0045617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</w:t>
            </w:r>
            <w:proofErr w:type="spellEnd"/>
            <w:r w:rsidRPr="00456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5412FCDD" w14:textId="77777777" w:rsidR="000B6E15" w:rsidRDefault="000B6E15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E86F3" w14:textId="77777777" w:rsidR="000B6E15" w:rsidRDefault="000B6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180A0E" w14:textId="777B8A1E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lastRenderedPageBreak/>
        <w:t>ПОДАННЯ:</w:t>
      </w:r>
    </w:p>
    <w:p w14:paraId="78467FA4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A5918" w14:textId="77777777" w:rsidR="000B3E9C" w:rsidRPr="000B3E9C" w:rsidRDefault="000B3E9C" w:rsidP="000B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5568BC78" w14:textId="77777777" w:rsidR="000B3E9C" w:rsidRPr="000B3E9C" w:rsidRDefault="000B3E9C" w:rsidP="00F10F7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0B3E9C"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274E4765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5A644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ПОГОДЖЕНО:</w:t>
      </w:r>
    </w:p>
    <w:p w14:paraId="36983780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5F735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</w:t>
      </w:r>
    </w:p>
    <w:p w14:paraId="7C3952B0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з питань архітектури, </w:t>
      </w:r>
      <w:proofErr w:type="spellStart"/>
      <w:r w:rsidRPr="00663571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Pr="0066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6311C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та земельних відносин</w:t>
      </w:r>
    </w:p>
    <w:p w14:paraId="5A36CCB9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Голова</w:t>
      </w:r>
      <w:r w:rsidRPr="00663571">
        <w:rPr>
          <w:rFonts w:ascii="Times New Roman" w:hAnsi="Times New Roman" w:cs="Times New Roman"/>
          <w:sz w:val="28"/>
          <w:szCs w:val="28"/>
        </w:rPr>
        <w:tab/>
        <w:t>Михайло ТЕРЕНТЬЄВ</w:t>
      </w:r>
    </w:p>
    <w:p w14:paraId="0358AEFA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D5128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14:paraId="575F6F67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0341B6A3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663571"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0B083421" w14:textId="77777777" w:rsidR="00184B04" w:rsidRPr="00663571" w:rsidRDefault="00184B04" w:rsidP="00184B04">
      <w:pPr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br w:type="page"/>
      </w:r>
    </w:p>
    <w:p w14:paraId="54C49035" w14:textId="77777777" w:rsidR="00184B04" w:rsidRPr="00663571" w:rsidRDefault="00184B04" w:rsidP="00184B04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ПОЯСНЮВАЛЬНА ЗАПИСКА</w:t>
      </w:r>
    </w:p>
    <w:p w14:paraId="13DD3742" w14:textId="77777777" w:rsidR="00184B04" w:rsidRPr="00663571" w:rsidRDefault="00184B04" w:rsidP="00184B04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663571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Київської міської ради</w:t>
      </w:r>
    </w:p>
    <w:p w14:paraId="107143B1" w14:textId="77777777" w:rsidR="00F10F79" w:rsidRPr="0095283F" w:rsidRDefault="00184B04" w:rsidP="00F10F79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10F79" w:rsidRPr="00BF5C59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визнання недійсним рішення Київської міської ради від </w:t>
      </w:r>
      <w:r w:rsidR="00F10F79">
        <w:rPr>
          <w:rFonts w:ascii="Times New Roman" w:hAnsi="Times New Roman" w:cs="Times New Roman"/>
          <w:b/>
          <w:bCs/>
          <w:sz w:val="28"/>
          <w:szCs w:val="28"/>
        </w:rPr>
        <w:t>08.02.2024 № 7750/7791 «</w:t>
      </w:r>
      <w:r w:rsidR="00F10F79" w:rsidRPr="00380D54">
        <w:rPr>
          <w:rFonts w:ascii="Times New Roman" w:hAnsi="Times New Roman" w:cs="Times New Roman"/>
          <w:b/>
          <w:bCs/>
          <w:sz w:val="28"/>
          <w:szCs w:val="28"/>
        </w:rPr>
        <w:t>Про зміну цільового призначення земельної ділянки ТОВАРИСТВУ З ОБМЕЖЕНОЮ ВІДПОВІДАЛЬНІСТЮ «ДОРАДО» для реконструкції майнового комплексу в житловий комплекс з вбудовано-прибудованими об'єктами ринкової інфраструктури з подальшою їх експлуатацією та обслуговуванням на вул.</w:t>
      </w:r>
      <w:r w:rsidR="00F10F7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10F79" w:rsidRPr="00380D54">
        <w:rPr>
          <w:rFonts w:ascii="Times New Roman" w:hAnsi="Times New Roman" w:cs="Times New Roman"/>
          <w:b/>
          <w:bCs/>
          <w:sz w:val="28"/>
          <w:szCs w:val="28"/>
        </w:rPr>
        <w:t>Автозаводській, 72а в Оболонському районі міста Києва</w:t>
      </w:r>
      <w:r w:rsidR="00F10F7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10F79" w:rsidRPr="00380D54">
        <w:rPr>
          <w:rFonts w:ascii="Times New Roman" w:hAnsi="Times New Roman" w:cs="Times New Roman"/>
          <w:b/>
          <w:bCs/>
          <w:sz w:val="28"/>
          <w:szCs w:val="28"/>
        </w:rPr>
        <w:t xml:space="preserve"> (528839673)</w:t>
      </w:r>
    </w:p>
    <w:p w14:paraId="289DACC1" w14:textId="643E9246" w:rsidR="00184B04" w:rsidRPr="00663571" w:rsidRDefault="00184B04" w:rsidP="00184B04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9306B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35D93" w14:textId="22C543D2" w:rsidR="00184B04" w:rsidRPr="00663571" w:rsidRDefault="00F10F79" w:rsidP="00184B04">
      <w:pPr>
        <w:pStyle w:val="af4"/>
        <w:numPr>
          <w:ilvl w:val="0"/>
          <w:numId w:val="1"/>
        </w:numPr>
        <w:shd w:val="clear" w:color="auto" w:fill="auto"/>
        <w:tabs>
          <w:tab w:val="left" w:pos="1134"/>
        </w:tabs>
        <w:ind w:left="142" w:firstLine="567"/>
        <w:rPr>
          <w:sz w:val="28"/>
          <w:szCs w:val="28"/>
        </w:rPr>
      </w:pPr>
      <w:r>
        <w:rPr>
          <w:sz w:val="28"/>
          <w:szCs w:val="28"/>
        </w:rPr>
        <w:t>Юридична особа</w:t>
      </w:r>
      <w:r w:rsidR="00184B04" w:rsidRPr="00663571">
        <w:rPr>
          <w:sz w:val="28"/>
          <w:szCs w:val="28"/>
        </w:rPr>
        <w:t>:</w:t>
      </w:r>
    </w:p>
    <w:tbl>
      <w:tblPr>
        <w:tblStyle w:val="ae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184B04" w:rsidRPr="00663571" w14:paraId="71D7768E" w14:textId="77777777" w:rsidTr="003F5362">
        <w:trPr>
          <w:cantSplit/>
          <w:trHeight w:val="293"/>
        </w:trPr>
        <w:tc>
          <w:tcPr>
            <w:tcW w:w="3266" w:type="dxa"/>
          </w:tcPr>
          <w:p w14:paraId="66E9AF09" w14:textId="3A024B6B" w:rsidR="00184B04" w:rsidRPr="00663571" w:rsidRDefault="00184B04" w:rsidP="003F5362">
            <w:pPr>
              <w:pStyle w:val="af4"/>
              <w:shd w:val="clear" w:color="auto" w:fill="auto"/>
              <w:ind w:firstLine="3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Назва</w:t>
            </w:r>
          </w:p>
        </w:tc>
        <w:tc>
          <w:tcPr>
            <w:tcW w:w="6090" w:type="dxa"/>
          </w:tcPr>
          <w:p w14:paraId="2DECD5EB" w14:textId="6B0E715B" w:rsidR="00184B04" w:rsidRPr="00184B04" w:rsidRDefault="00184B04" w:rsidP="00184B04">
            <w:pPr>
              <w:pStyle w:val="af1"/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184B04">
              <w:rPr>
                <w:sz w:val="28"/>
                <w:szCs w:val="28"/>
                <w:lang w:val="ru-RU"/>
              </w:rPr>
              <w:t>ТОВАРИСТВО З ОБМЕЖЕНОЮ ВІДПОВІДАЛЬНІСТЮ «</w:t>
            </w:r>
            <w:r w:rsidR="00F10F79">
              <w:rPr>
                <w:sz w:val="28"/>
                <w:szCs w:val="28"/>
                <w:lang w:val="ru-RU"/>
              </w:rPr>
              <w:t>ДОРАДО</w:t>
            </w:r>
            <w:r w:rsidRPr="00184B04">
              <w:rPr>
                <w:sz w:val="28"/>
                <w:szCs w:val="28"/>
                <w:lang w:val="ru-RU"/>
              </w:rPr>
              <w:t>»</w:t>
            </w:r>
          </w:p>
        </w:tc>
      </w:tr>
      <w:tr w:rsidR="00184B04" w:rsidRPr="00663571" w14:paraId="4A68D27D" w14:textId="77777777" w:rsidTr="003F5362">
        <w:trPr>
          <w:cantSplit/>
          <w:trHeight w:val="293"/>
        </w:trPr>
        <w:tc>
          <w:tcPr>
            <w:tcW w:w="3266" w:type="dxa"/>
          </w:tcPr>
          <w:p w14:paraId="71EC0BC9" w14:textId="77777777" w:rsidR="00184B04" w:rsidRPr="00663571" w:rsidRDefault="00184B04" w:rsidP="003F5362">
            <w:pPr>
              <w:pStyle w:val="af4"/>
              <w:shd w:val="clear" w:color="auto" w:fill="auto"/>
              <w:ind w:firstLine="34"/>
              <w:rPr>
                <w:b w:val="0"/>
                <w:sz w:val="28"/>
                <w:szCs w:val="28"/>
              </w:rPr>
            </w:pPr>
            <w:r w:rsidRPr="00663571">
              <w:rPr>
                <w:b w:val="0"/>
                <w:sz w:val="28"/>
                <w:szCs w:val="28"/>
              </w:rPr>
              <w:t>Реєстраційний номер:</w:t>
            </w:r>
          </w:p>
        </w:tc>
        <w:tc>
          <w:tcPr>
            <w:tcW w:w="6090" w:type="dxa"/>
          </w:tcPr>
          <w:p w14:paraId="078D14EF" w14:textId="711EFF8F" w:rsidR="00184B04" w:rsidRPr="00184B04" w:rsidRDefault="00184B04" w:rsidP="00184B04">
            <w:pPr>
              <w:pStyle w:val="af1"/>
              <w:spacing w:line="256" w:lineRule="auto"/>
              <w:rPr>
                <w:b/>
                <w:sz w:val="28"/>
                <w:szCs w:val="28"/>
              </w:rPr>
            </w:pPr>
            <w:r w:rsidRPr="00184B04">
              <w:rPr>
                <w:sz w:val="28"/>
                <w:szCs w:val="28"/>
              </w:rPr>
              <w:t xml:space="preserve">від </w:t>
            </w:r>
            <w:r w:rsidR="00F10F79">
              <w:rPr>
                <w:sz w:val="28"/>
                <w:szCs w:val="28"/>
              </w:rPr>
              <w:t>02.03.2021</w:t>
            </w:r>
            <w:r w:rsidRPr="00184B04">
              <w:rPr>
                <w:sz w:val="28"/>
                <w:szCs w:val="28"/>
              </w:rPr>
              <w:t xml:space="preserve"> № </w:t>
            </w:r>
            <w:r w:rsidR="00F10F79">
              <w:rPr>
                <w:sz w:val="28"/>
                <w:szCs w:val="28"/>
              </w:rPr>
              <w:t>528839673</w:t>
            </w:r>
          </w:p>
        </w:tc>
      </w:tr>
    </w:tbl>
    <w:p w14:paraId="325FF20F" w14:textId="77777777" w:rsidR="00184B04" w:rsidRPr="00663571" w:rsidRDefault="00184B04" w:rsidP="00184B04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25D5EB77" w14:textId="77777777" w:rsidR="00184B04" w:rsidRPr="00663571" w:rsidRDefault="00184B04" w:rsidP="00184B04">
      <w:pPr>
        <w:pStyle w:val="af4"/>
        <w:shd w:val="clear" w:color="auto" w:fill="auto"/>
        <w:ind w:left="353" w:firstLine="142"/>
        <w:rPr>
          <w:sz w:val="28"/>
          <w:szCs w:val="28"/>
        </w:rPr>
      </w:pPr>
    </w:p>
    <w:p w14:paraId="1AB6E8AF" w14:textId="7940FCC5" w:rsidR="00184B04" w:rsidRPr="00663571" w:rsidRDefault="00184B04" w:rsidP="00184B04">
      <w:pPr>
        <w:pStyle w:val="af4"/>
        <w:numPr>
          <w:ilvl w:val="0"/>
          <w:numId w:val="1"/>
        </w:numPr>
        <w:shd w:val="clear" w:color="auto" w:fill="auto"/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663571">
        <w:rPr>
          <w:sz w:val="28"/>
          <w:szCs w:val="28"/>
        </w:rPr>
        <w:t>Відомості про земельну ділянку (кадастровий № 8000000000:</w:t>
      </w:r>
      <w:r w:rsidR="00F10F79">
        <w:rPr>
          <w:sz w:val="28"/>
          <w:szCs w:val="28"/>
        </w:rPr>
        <w:t>78:018:0003</w:t>
      </w:r>
      <w:r w:rsidRPr="00663571">
        <w:rPr>
          <w:sz w:val="28"/>
          <w:szCs w:val="28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184B04" w:rsidRPr="00663571" w14:paraId="61D43CEB" w14:textId="77777777" w:rsidTr="003F5362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76093ABE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5B1F7B90" w14:textId="53582341" w:rsidR="00184B04" w:rsidRPr="00184B04" w:rsidRDefault="00184B04" w:rsidP="00184B04">
            <w:pPr>
              <w:pStyle w:val="af1"/>
              <w:shd w:val="clear" w:color="auto" w:fill="auto"/>
              <w:spacing w:line="233" w:lineRule="auto"/>
              <w:ind w:left="134" w:right="134"/>
              <w:jc w:val="both"/>
              <w:rPr>
                <w:sz w:val="28"/>
                <w:szCs w:val="28"/>
              </w:rPr>
            </w:pPr>
            <w:r w:rsidRPr="00184B04">
              <w:rPr>
                <w:sz w:val="28"/>
                <w:szCs w:val="28"/>
                <w:lang w:eastAsia="uk-UA"/>
              </w:rPr>
              <w:t xml:space="preserve">м. Київ, р-н </w:t>
            </w:r>
            <w:r w:rsidR="00F10F79">
              <w:rPr>
                <w:sz w:val="28"/>
                <w:szCs w:val="28"/>
                <w:lang w:eastAsia="uk-UA"/>
              </w:rPr>
              <w:t>Оболонський</w:t>
            </w:r>
            <w:r w:rsidRPr="00184B04">
              <w:rPr>
                <w:sz w:val="28"/>
                <w:szCs w:val="28"/>
                <w:lang w:eastAsia="uk-UA"/>
              </w:rPr>
              <w:t xml:space="preserve">, вул. </w:t>
            </w:r>
            <w:r w:rsidR="00F10F79">
              <w:rPr>
                <w:sz w:val="28"/>
                <w:szCs w:val="28"/>
                <w:lang w:eastAsia="uk-UA"/>
              </w:rPr>
              <w:t>Автозаводська</w:t>
            </w:r>
            <w:r w:rsidRPr="00184B04">
              <w:rPr>
                <w:sz w:val="28"/>
                <w:szCs w:val="28"/>
                <w:lang w:eastAsia="uk-UA"/>
              </w:rPr>
              <w:t xml:space="preserve">, </w:t>
            </w:r>
            <w:r w:rsidR="00F10F79">
              <w:rPr>
                <w:sz w:val="28"/>
                <w:szCs w:val="28"/>
                <w:lang w:eastAsia="uk-UA"/>
              </w:rPr>
              <w:t>72а</w:t>
            </w:r>
          </w:p>
        </w:tc>
      </w:tr>
      <w:tr w:rsidR="00184B04" w:rsidRPr="00663571" w14:paraId="47A21B56" w14:textId="77777777" w:rsidTr="003F5362">
        <w:trPr>
          <w:trHeight w:hRule="exact" w:val="339"/>
        </w:trPr>
        <w:tc>
          <w:tcPr>
            <w:tcW w:w="3260" w:type="dxa"/>
            <w:shd w:val="clear" w:color="auto" w:fill="FFFFFF"/>
          </w:tcPr>
          <w:p w14:paraId="2631FC02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Площа</w:t>
            </w:r>
          </w:p>
        </w:tc>
        <w:tc>
          <w:tcPr>
            <w:tcW w:w="6100" w:type="dxa"/>
            <w:shd w:val="clear" w:color="auto" w:fill="FFFFFF"/>
          </w:tcPr>
          <w:p w14:paraId="669D9D22" w14:textId="6F3361CF" w:rsidR="00184B04" w:rsidRPr="00184B04" w:rsidRDefault="00184B04" w:rsidP="00184B04">
            <w:pPr>
              <w:pStyle w:val="af1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 w:rsidRPr="00184B04">
              <w:rPr>
                <w:sz w:val="28"/>
                <w:szCs w:val="28"/>
                <w:lang w:eastAsia="uk-UA"/>
              </w:rPr>
              <w:t>0,</w:t>
            </w:r>
            <w:r w:rsidR="00F10F79">
              <w:rPr>
                <w:sz w:val="28"/>
                <w:szCs w:val="28"/>
                <w:lang w:eastAsia="uk-UA"/>
              </w:rPr>
              <w:t>8621</w:t>
            </w:r>
            <w:r w:rsidRPr="00184B04">
              <w:rPr>
                <w:sz w:val="28"/>
                <w:szCs w:val="28"/>
                <w:lang w:eastAsia="uk-UA"/>
              </w:rPr>
              <w:t xml:space="preserve"> га</w:t>
            </w:r>
          </w:p>
        </w:tc>
      </w:tr>
      <w:tr w:rsidR="00184B04" w:rsidRPr="00663571" w14:paraId="22759C3C" w14:textId="77777777" w:rsidTr="003F5362">
        <w:trPr>
          <w:trHeight w:hRule="exact" w:val="389"/>
        </w:trPr>
        <w:tc>
          <w:tcPr>
            <w:tcW w:w="3260" w:type="dxa"/>
            <w:shd w:val="clear" w:color="auto" w:fill="FFFFFF"/>
            <w:vAlign w:val="bottom"/>
          </w:tcPr>
          <w:p w14:paraId="30FF80FE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Вид та термін користування</w:t>
            </w:r>
          </w:p>
          <w:p w14:paraId="55046671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</w:p>
          <w:p w14:paraId="24DAD28C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FFFFFF"/>
          </w:tcPr>
          <w:p w14:paraId="79CC01FF" w14:textId="29047095" w:rsidR="00184B04" w:rsidRPr="00184B04" w:rsidRDefault="002C10DD" w:rsidP="00184B04">
            <w:pPr>
              <w:pStyle w:val="af1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о</w:t>
            </w:r>
            <w:r w:rsidR="00184B04" w:rsidRPr="00184B04">
              <w:rPr>
                <w:sz w:val="28"/>
                <w:szCs w:val="28"/>
                <w:lang w:eastAsia="uk-UA"/>
              </w:rPr>
              <w:t xml:space="preserve">ренда </w:t>
            </w:r>
          </w:p>
        </w:tc>
      </w:tr>
      <w:tr w:rsidR="00184B04" w:rsidRPr="00663571" w14:paraId="2BD79767" w14:textId="77777777" w:rsidTr="003F5362">
        <w:trPr>
          <w:trHeight w:hRule="exact" w:val="424"/>
        </w:trPr>
        <w:tc>
          <w:tcPr>
            <w:tcW w:w="3260" w:type="dxa"/>
            <w:shd w:val="clear" w:color="auto" w:fill="FFFFFF"/>
          </w:tcPr>
          <w:p w14:paraId="14F7625F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1858F4E" w14:textId="37C9B0B7" w:rsidR="00184B04" w:rsidRPr="00184B04" w:rsidRDefault="00184B04" w:rsidP="00184B04">
            <w:pPr>
              <w:pStyle w:val="af1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 w:rsidRPr="00184B04">
              <w:rPr>
                <w:sz w:val="28"/>
                <w:szCs w:val="28"/>
                <w:lang w:eastAsia="uk-UA"/>
              </w:rPr>
              <w:t>землі житлової та громадської забудови</w:t>
            </w:r>
          </w:p>
        </w:tc>
      </w:tr>
      <w:tr w:rsidR="00184B04" w:rsidRPr="00663571" w14:paraId="43E0E657" w14:textId="77777777" w:rsidTr="003F5362">
        <w:trPr>
          <w:trHeight w:hRule="exact" w:val="1022"/>
        </w:trPr>
        <w:tc>
          <w:tcPr>
            <w:tcW w:w="3260" w:type="dxa"/>
            <w:shd w:val="clear" w:color="auto" w:fill="FFFFFF"/>
          </w:tcPr>
          <w:p w14:paraId="08D80BD6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634AB3CF" w14:textId="6334ECFB" w:rsidR="00184B04" w:rsidRPr="00184B04" w:rsidRDefault="00184B04" w:rsidP="00184B04">
            <w:pPr>
              <w:pStyle w:val="af1"/>
              <w:shd w:val="clear" w:color="auto" w:fill="auto"/>
              <w:ind w:left="134" w:right="134"/>
              <w:jc w:val="both"/>
              <w:rPr>
                <w:i/>
                <w:iCs/>
                <w:sz w:val="28"/>
                <w:szCs w:val="28"/>
              </w:rPr>
            </w:pPr>
            <w:r w:rsidRPr="00184B04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>0</w:t>
            </w:r>
            <w:r w:rsidR="00F10F79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>2</w:t>
            </w:r>
            <w:r w:rsidRPr="00184B04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>.</w:t>
            </w:r>
            <w:r w:rsidR="00F10F79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>10</w:t>
            </w:r>
            <w:r w:rsidRPr="00184B04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 xml:space="preserve"> для будівництва </w:t>
            </w:r>
            <w:r w:rsidR="00F10F79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>і</w:t>
            </w:r>
            <w:r w:rsidRPr="00184B04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 xml:space="preserve"> обслуговування </w:t>
            </w:r>
            <w:r w:rsidR="00F10F79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 xml:space="preserve">багатоквартирного житлового будинку з </w:t>
            </w:r>
            <w:proofErr w:type="spellStart"/>
            <w:r w:rsidR="00F10F79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>обєктами</w:t>
            </w:r>
            <w:proofErr w:type="spellEnd"/>
            <w:r w:rsidR="00F10F79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 xml:space="preserve"> торгово-розважальної та ринкової </w:t>
            </w:r>
            <w:proofErr w:type="spellStart"/>
            <w:r w:rsidR="00F10F79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>інфрастурктури</w:t>
            </w:r>
            <w:proofErr w:type="spellEnd"/>
            <w:r w:rsidR="00F10F79">
              <w:rPr>
                <w:rStyle w:val="af"/>
                <w:rFonts w:eastAsiaTheme="majorEastAsia"/>
                <w:bCs/>
                <w:i w:val="0"/>
                <w:iCs w:val="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184B04" w:rsidRPr="00663571" w14:paraId="7CB8CA9A" w14:textId="77777777" w:rsidTr="009B190F">
        <w:trPr>
          <w:trHeight w:hRule="exact" w:val="711"/>
        </w:trPr>
        <w:tc>
          <w:tcPr>
            <w:tcW w:w="3260" w:type="dxa"/>
            <w:shd w:val="clear" w:color="auto" w:fill="FFFFFF"/>
            <w:vAlign w:val="bottom"/>
          </w:tcPr>
          <w:p w14:paraId="25F15ECA" w14:textId="77777777" w:rsidR="00184B04" w:rsidRPr="00663571" w:rsidRDefault="00184B04" w:rsidP="00184B04">
            <w:pPr>
              <w:pStyle w:val="af1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Нормативна грошова оцінка </w:t>
            </w:r>
            <w:r w:rsidRPr="00663571">
              <w:rPr>
                <w:sz w:val="28"/>
                <w:szCs w:val="28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14:paraId="37CE344A" w14:textId="3806655B" w:rsidR="00184B04" w:rsidRPr="00184B04" w:rsidRDefault="00F10F79" w:rsidP="00184B04">
            <w:pPr>
              <w:pStyle w:val="af1"/>
              <w:ind w:left="134" w:right="134"/>
              <w:jc w:val="both"/>
              <w:rPr>
                <w:rStyle w:val="af"/>
                <w:bCs/>
                <w:i w:val="0"/>
                <w:iC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13 823 494</w:t>
            </w:r>
            <w:r w:rsidR="00184B04" w:rsidRPr="00184B04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184B04" w:rsidRPr="00184B04">
              <w:rPr>
                <w:rStyle w:val="af"/>
                <w:rFonts w:eastAsiaTheme="majorEastAsia"/>
                <w:i w:val="0"/>
                <w:iCs w:val="0"/>
                <w:sz w:val="28"/>
                <w:szCs w:val="28"/>
                <w:lang w:eastAsia="uk-UA"/>
              </w:rPr>
              <w:t xml:space="preserve">грн </w:t>
            </w:r>
            <w:r>
              <w:rPr>
                <w:rStyle w:val="af"/>
                <w:rFonts w:eastAsiaTheme="majorEastAsia"/>
                <w:i w:val="0"/>
                <w:iCs w:val="0"/>
                <w:sz w:val="28"/>
                <w:szCs w:val="28"/>
                <w:lang w:eastAsia="uk-UA"/>
              </w:rPr>
              <w:t>89</w:t>
            </w:r>
            <w:r w:rsidR="00184B04" w:rsidRPr="00184B04">
              <w:rPr>
                <w:rStyle w:val="af"/>
                <w:rFonts w:eastAsiaTheme="majorEastAsia"/>
                <w:i w:val="0"/>
                <w:iCs w:val="0"/>
                <w:sz w:val="28"/>
                <w:szCs w:val="28"/>
                <w:lang w:eastAsia="uk-UA"/>
              </w:rPr>
              <w:t xml:space="preserve"> коп.</w:t>
            </w:r>
          </w:p>
        </w:tc>
      </w:tr>
      <w:tr w:rsidR="00184B04" w:rsidRPr="00663571" w14:paraId="6F397FB5" w14:textId="77777777" w:rsidTr="003F5362">
        <w:trPr>
          <w:trHeight w:hRule="exact" w:val="705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8418056" w14:textId="77777777" w:rsidR="00184B04" w:rsidRPr="00663571" w:rsidRDefault="00184B04" w:rsidP="002C10DD">
            <w:pPr>
              <w:pStyle w:val="af1"/>
              <w:numPr>
                <w:ilvl w:val="0"/>
                <w:numId w:val="3"/>
              </w:numPr>
              <w:ind w:left="134" w:right="134"/>
              <w:jc w:val="both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>Наведені розрахунки нормативної грошової оцінки не є остаточними і будуть уточнені</w:t>
            </w:r>
          </w:p>
          <w:p w14:paraId="63E54FF6" w14:textId="77777777" w:rsidR="00184B04" w:rsidRPr="00663571" w:rsidRDefault="00184B04" w:rsidP="003F5362">
            <w:pPr>
              <w:pStyle w:val="af1"/>
              <w:ind w:left="134"/>
              <w:rPr>
                <w:rStyle w:val="af"/>
                <w:b/>
                <w:iCs w:val="0"/>
                <w:sz w:val="28"/>
                <w:szCs w:val="28"/>
              </w:rPr>
            </w:pPr>
            <w:r w:rsidRPr="00663571">
              <w:rPr>
                <w:i/>
                <w:sz w:val="28"/>
                <w:szCs w:val="28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0BE53FD0" w14:textId="77777777" w:rsidR="00184B04" w:rsidRPr="00663571" w:rsidRDefault="00184B04" w:rsidP="00184B04">
      <w:pPr>
        <w:spacing w:after="259" w:line="1" w:lineRule="exact"/>
        <w:rPr>
          <w:rFonts w:ascii="Times New Roman" w:hAnsi="Times New Roman" w:cs="Times New Roman"/>
          <w:sz w:val="28"/>
          <w:szCs w:val="28"/>
        </w:rPr>
      </w:pPr>
    </w:p>
    <w:p w14:paraId="74CDC82E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sz w:val="28"/>
          <w:szCs w:val="28"/>
        </w:rPr>
      </w:pPr>
      <w:r w:rsidRPr="00663571">
        <w:rPr>
          <w:b/>
          <w:bCs/>
          <w:i w:val="0"/>
          <w:iCs w:val="0"/>
          <w:sz w:val="28"/>
          <w:szCs w:val="28"/>
        </w:rPr>
        <w:t>3. Обґрунтування прийняття рішення.</w:t>
      </w:r>
    </w:p>
    <w:p w14:paraId="6AC9100E" w14:textId="5CB897D3" w:rsidR="00184B04" w:rsidRPr="00F10F79" w:rsidRDefault="00184B04" w:rsidP="00184B04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Рішенням Київської міської ради </w:t>
      </w:r>
      <w:r w:rsidR="00F10F79" w:rsidRPr="00F10F79">
        <w:rPr>
          <w:i w:val="0"/>
          <w:iCs w:val="0"/>
          <w:sz w:val="28"/>
          <w:szCs w:val="28"/>
        </w:rPr>
        <w:t>від 08.02.2024 № 7750/7791 змін</w:t>
      </w:r>
      <w:r w:rsidR="00F10F79">
        <w:rPr>
          <w:i w:val="0"/>
          <w:iCs w:val="0"/>
          <w:sz w:val="28"/>
          <w:szCs w:val="28"/>
        </w:rPr>
        <w:t>ено</w:t>
      </w:r>
      <w:r w:rsidR="00F10F79" w:rsidRPr="00F10F79">
        <w:rPr>
          <w:i w:val="0"/>
          <w:iCs w:val="0"/>
          <w:sz w:val="28"/>
          <w:szCs w:val="28"/>
        </w:rPr>
        <w:t xml:space="preserve"> цільов</w:t>
      </w:r>
      <w:r w:rsidR="00F10F79">
        <w:rPr>
          <w:i w:val="0"/>
          <w:iCs w:val="0"/>
          <w:sz w:val="28"/>
          <w:szCs w:val="28"/>
        </w:rPr>
        <w:t>е</w:t>
      </w:r>
      <w:r w:rsidR="00F10F79" w:rsidRPr="00F10F79">
        <w:rPr>
          <w:i w:val="0"/>
          <w:iCs w:val="0"/>
          <w:sz w:val="28"/>
          <w:szCs w:val="28"/>
        </w:rPr>
        <w:t xml:space="preserve"> призначення земельної ділянки ТОВАРИСТВУ З ОБМЕЖЕНОЮ ВІДПОВІДАЛЬНІСТЮ «ДОРАДО» для реконструкції майнового комплексу в житловий комплекс з вбудовано-прибудованими об'єктами ринкової інфраструктури з подальшою їх експлуатацією та обслуговуванням на вул. Автозаводській, 72а в Оболонському районі міста Києва» (528839673)</w:t>
      </w:r>
      <w:r w:rsidR="002C10DD" w:rsidRPr="00F10F79">
        <w:rPr>
          <w:i w:val="0"/>
          <w:iCs w:val="0"/>
          <w:sz w:val="28"/>
          <w:szCs w:val="28"/>
        </w:rPr>
        <w:t>.</w:t>
      </w:r>
    </w:p>
    <w:p w14:paraId="4857FDB4" w14:textId="7DCCF7A5" w:rsidR="002C10DD" w:rsidRPr="00F10F79" w:rsidRDefault="002C10DD" w:rsidP="00184B04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Разом із цим, </w:t>
      </w:r>
      <w:r w:rsidR="00F10F79" w:rsidRPr="00F10F79">
        <w:rPr>
          <w:i w:val="0"/>
          <w:iCs w:val="0"/>
          <w:sz w:val="28"/>
          <w:szCs w:val="28"/>
        </w:rPr>
        <w:t xml:space="preserve">на земельній ділянці із кадастровим номером </w:t>
      </w:r>
      <w:r w:rsidR="00F10F79" w:rsidRPr="00F10F79">
        <w:rPr>
          <w:rStyle w:val="af"/>
          <w:i/>
          <w:iCs/>
          <w:sz w:val="28"/>
          <w:szCs w:val="28"/>
        </w:rPr>
        <w:t xml:space="preserve">8000000000:78:018:0003; </w:t>
      </w:r>
      <w:r w:rsidR="00F10F79" w:rsidRPr="00F10F79">
        <w:rPr>
          <w:i w:val="0"/>
          <w:iCs w:val="0"/>
          <w:sz w:val="28"/>
          <w:szCs w:val="28"/>
        </w:rPr>
        <w:t xml:space="preserve">площа 0,8621 га на вул. Автозаводській, 72а в Оболонському районі міста Києва </w:t>
      </w:r>
      <w:r w:rsidR="00F10F79">
        <w:rPr>
          <w:i w:val="0"/>
          <w:iCs w:val="0"/>
          <w:sz w:val="28"/>
          <w:szCs w:val="28"/>
        </w:rPr>
        <w:t xml:space="preserve">розміщені </w:t>
      </w:r>
      <w:r w:rsidR="00F10F79" w:rsidRPr="00F10F79">
        <w:rPr>
          <w:i w:val="0"/>
          <w:iCs w:val="0"/>
          <w:sz w:val="28"/>
          <w:szCs w:val="28"/>
        </w:rPr>
        <w:t>тимчасов</w:t>
      </w:r>
      <w:r w:rsidR="00F10F79">
        <w:rPr>
          <w:i w:val="0"/>
          <w:iCs w:val="0"/>
          <w:sz w:val="28"/>
          <w:szCs w:val="28"/>
        </w:rPr>
        <w:t>і</w:t>
      </w:r>
      <w:r w:rsidR="00F10F79" w:rsidRPr="00F10F79">
        <w:rPr>
          <w:i w:val="0"/>
          <w:iCs w:val="0"/>
          <w:sz w:val="28"/>
          <w:szCs w:val="28"/>
        </w:rPr>
        <w:t xml:space="preserve"> споруд</w:t>
      </w:r>
      <w:r w:rsidR="00F10F79">
        <w:rPr>
          <w:i w:val="0"/>
          <w:iCs w:val="0"/>
          <w:sz w:val="28"/>
          <w:szCs w:val="28"/>
        </w:rPr>
        <w:t>и</w:t>
      </w:r>
      <w:r w:rsidR="00F10F79" w:rsidRPr="00F10F79">
        <w:rPr>
          <w:i w:val="0"/>
          <w:iCs w:val="0"/>
          <w:sz w:val="28"/>
          <w:szCs w:val="28"/>
        </w:rPr>
        <w:t xml:space="preserve"> (лист Департаменту територіального контролю виконавчого органу Київської міської ради (Київської міської державної адміністрації) від 20.03.2025 № 073-905), які </w:t>
      </w:r>
      <w:r w:rsidR="00F10F79" w:rsidRPr="00F10F79">
        <w:rPr>
          <w:i w:val="0"/>
          <w:iCs w:val="0"/>
          <w:sz w:val="28"/>
          <w:szCs w:val="28"/>
        </w:rPr>
        <w:lastRenderedPageBreak/>
        <w:t>зареєстровані як об’єкти нерухомого майна</w:t>
      </w:r>
      <w:r w:rsidR="0095283F" w:rsidRPr="00F10F79">
        <w:rPr>
          <w:i w:val="0"/>
          <w:iCs w:val="0"/>
          <w:sz w:val="28"/>
          <w:szCs w:val="28"/>
        </w:rPr>
        <w:t>.</w:t>
      </w:r>
    </w:p>
    <w:p w14:paraId="37E55E97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 w:rsidRPr="00663571">
        <w:rPr>
          <w:i w:val="0"/>
          <w:iCs w:val="0"/>
          <w:sz w:val="28"/>
          <w:szCs w:val="28"/>
        </w:rPr>
        <w:t>Передача земельної ділянки за позаконкурсною процедурою для цілей, які не пов’язані із експлуатацією та обслуговуванням вказаного майна</w:t>
      </w:r>
      <w:r w:rsidRPr="007E5321"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  <w:lang w:val="ru-RU"/>
        </w:rPr>
        <w:t>саме</w:t>
      </w:r>
      <w:proofErr w:type="spellEnd"/>
      <w:r>
        <w:rPr>
          <w:i w:val="0"/>
          <w:iCs w:val="0"/>
          <w:sz w:val="28"/>
          <w:szCs w:val="28"/>
        </w:rPr>
        <w:t xml:space="preserve"> для будівництва)</w:t>
      </w:r>
      <w:r w:rsidRPr="00663571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та</w:t>
      </w:r>
      <w:r w:rsidRPr="00663571">
        <w:rPr>
          <w:i w:val="0"/>
          <w:iCs w:val="0"/>
          <w:sz w:val="28"/>
          <w:szCs w:val="28"/>
        </w:rPr>
        <w:t xml:space="preserve"> власне розмір земельної ділянки значно перевищує площу об’єкта нерухомого майна, на ній розташованого,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910/10500/19.</w:t>
      </w:r>
    </w:p>
    <w:p w14:paraId="756AA7E2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b/>
          <w:bCs/>
          <w:i w:val="0"/>
          <w:sz w:val="28"/>
          <w:szCs w:val="28"/>
        </w:rPr>
      </w:pPr>
    </w:p>
    <w:p w14:paraId="17B791EC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4. Мета прийняття рішення.</w:t>
      </w:r>
    </w:p>
    <w:p w14:paraId="7865D848" w14:textId="61023960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Метою прийняття рішення є визнання недійсним рішення Київської міської ради </w:t>
      </w:r>
      <w:r w:rsidR="00F10F79" w:rsidRPr="00F10F79">
        <w:rPr>
          <w:i w:val="0"/>
          <w:iCs w:val="0"/>
          <w:sz w:val="28"/>
          <w:szCs w:val="28"/>
        </w:rPr>
        <w:t>від 08.02.2024 № 7750/7791 «Про зміну цільового призначення земельної ділянки ТОВАРИСТВУ З ОБМЕЖЕНОЮ ВІДПОВІДАЛЬНІСТЮ «ДОРАДО» для реконструкції майнового комплексу в житловий комплекс з вбудовано-прибудованими об'єктами ринкової інфраструктури з подальшою їх експлуатацією та обслуговуванням на вул. Автозаводській, 72а в Оболонському районі міста Києва» (528839673)</w:t>
      </w:r>
      <w:r w:rsidRPr="00663571">
        <w:rPr>
          <w:i w:val="0"/>
          <w:sz w:val="28"/>
          <w:szCs w:val="28"/>
        </w:rPr>
        <w:t xml:space="preserve"> із зворотною дією в часі (тобто з дня набрання ним чинності).</w:t>
      </w:r>
    </w:p>
    <w:p w14:paraId="76274248" w14:textId="77777777" w:rsidR="00184B04" w:rsidRPr="00663571" w:rsidRDefault="00184B04" w:rsidP="00184B04">
      <w:pPr>
        <w:pStyle w:val="11"/>
        <w:shd w:val="clear" w:color="auto" w:fill="auto"/>
        <w:ind w:firstLine="709"/>
        <w:jc w:val="both"/>
        <w:rPr>
          <w:sz w:val="28"/>
          <w:szCs w:val="28"/>
        </w:rPr>
      </w:pPr>
    </w:p>
    <w:p w14:paraId="5B26B55F" w14:textId="77777777" w:rsidR="00184B04" w:rsidRPr="00663571" w:rsidRDefault="00184B04" w:rsidP="00184B04">
      <w:pPr>
        <w:pStyle w:val="af4"/>
        <w:shd w:val="clear" w:color="auto" w:fill="auto"/>
        <w:ind w:left="426" w:firstLine="283"/>
        <w:rPr>
          <w:sz w:val="28"/>
          <w:szCs w:val="28"/>
        </w:rPr>
      </w:pPr>
      <w:r w:rsidRPr="00663571">
        <w:rPr>
          <w:sz w:val="28"/>
          <w:szCs w:val="28"/>
        </w:rPr>
        <w:t>5. Особливі характеристики ділянки.</w:t>
      </w:r>
    </w:p>
    <w:tbl>
      <w:tblPr>
        <w:tblStyle w:val="ae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184B04" w:rsidRPr="00663571" w14:paraId="53256FF4" w14:textId="77777777" w:rsidTr="00F10F79">
        <w:trPr>
          <w:cantSplit/>
        </w:trPr>
        <w:tc>
          <w:tcPr>
            <w:tcW w:w="3260" w:type="dxa"/>
          </w:tcPr>
          <w:p w14:paraId="7708E908" w14:textId="77777777" w:rsidR="00184B04" w:rsidRPr="00663571" w:rsidRDefault="00184B04" w:rsidP="003F5362">
            <w:pPr>
              <w:pStyle w:val="11"/>
              <w:shd w:val="clear" w:color="auto" w:fill="auto"/>
              <w:rPr>
                <w:i w:val="0"/>
                <w:sz w:val="28"/>
                <w:szCs w:val="28"/>
              </w:rPr>
            </w:pPr>
            <w:r w:rsidRPr="00663571">
              <w:rPr>
                <w:i w:val="0"/>
                <w:sz w:val="28"/>
                <w:szCs w:val="28"/>
              </w:rPr>
              <w:t>Наявність будівель і споруд на ділянці:</w:t>
            </w:r>
          </w:p>
        </w:tc>
        <w:tc>
          <w:tcPr>
            <w:tcW w:w="6237" w:type="dxa"/>
          </w:tcPr>
          <w:p w14:paraId="69BBBC34" w14:textId="21A435FF" w:rsidR="0095283F" w:rsidRPr="0095283F" w:rsidRDefault="0095283F" w:rsidP="003F5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>На земельній ділянці розташован</w:t>
            </w:r>
            <w:r w:rsidR="00F10F7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F79">
              <w:rPr>
                <w:rFonts w:ascii="Times New Roman" w:hAnsi="Times New Roman" w:cs="Times New Roman"/>
                <w:sz w:val="28"/>
                <w:szCs w:val="28"/>
              </w:rPr>
              <w:t xml:space="preserve">об’єкти нерухомого майна, а саме контора (літ. А) площею 57,8 </w:t>
            </w:r>
            <w:proofErr w:type="spellStart"/>
            <w:r w:rsidR="00F10F7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F10F79">
              <w:rPr>
                <w:rFonts w:ascii="Times New Roman" w:hAnsi="Times New Roman" w:cs="Times New Roman"/>
                <w:sz w:val="28"/>
                <w:szCs w:val="28"/>
              </w:rPr>
              <w:t xml:space="preserve">., павільйони (літ. Б, В. Г, Д, Е, Ж) площею відповідно 260,9 </w:t>
            </w:r>
            <w:proofErr w:type="spellStart"/>
            <w:r w:rsidR="00F10F7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F10F79">
              <w:rPr>
                <w:rFonts w:ascii="Times New Roman" w:hAnsi="Times New Roman" w:cs="Times New Roman"/>
                <w:sz w:val="28"/>
                <w:szCs w:val="28"/>
              </w:rPr>
              <w:t xml:space="preserve">., 170,3 </w:t>
            </w:r>
            <w:proofErr w:type="spellStart"/>
            <w:r w:rsidR="00F10F7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F10F79">
              <w:rPr>
                <w:rFonts w:ascii="Times New Roman" w:hAnsi="Times New Roman" w:cs="Times New Roman"/>
                <w:sz w:val="28"/>
                <w:szCs w:val="28"/>
              </w:rPr>
              <w:t xml:space="preserve">., 284,5 </w:t>
            </w:r>
            <w:proofErr w:type="spellStart"/>
            <w:r w:rsidR="00F10F7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F10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283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284,5 </w:t>
            </w:r>
            <w:proofErr w:type="spellStart"/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333,7 </w:t>
            </w:r>
            <w:proofErr w:type="spellStart"/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216 </w:t>
            </w:r>
            <w:proofErr w:type="spellStart"/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335 </w:t>
            </w:r>
            <w:proofErr w:type="spellStart"/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 w:rsidR="00F10F79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 право власності зареєстровано у Державному реєстрі речових прав на нерухоме майно </w:t>
            </w:r>
            <w:r w:rsidR="00F10F79">
              <w:rPr>
                <w:rFonts w:ascii="Times New Roman" w:hAnsi="Times New Roman" w:cs="Times New Roman"/>
                <w:sz w:val="28"/>
                <w:szCs w:val="28"/>
              </w:rPr>
              <w:t>10.12.2018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, номер відомостей про речове право </w:t>
            </w:r>
            <w:r w:rsidR="00F10F79">
              <w:rPr>
                <w:rFonts w:ascii="Times New Roman" w:hAnsi="Times New Roman" w:cs="Times New Roman"/>
                <w:sz w:val="28"/>
                <w:szCs w:val="28"/>
              </w:rPr>
              <w:t>29459763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 (інформація з Державного реєстру речових прав на нерухоме майно від </w:t>
            </w:r>
            <w:r w:rsidR="00F10F79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  <w:r w:rsidR="000B3E9C" w:rsidRPr="00F10F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10F79">
              <w:rPr>
                <w:rFonts w:ascii="Times New Roman" w:hAnsi="Times New Roman" w:cs="Times New Roman"/>
                <w:sz w:val="28"/>
                <w:szCs w:val="28"/>
              </w:rPr>
              <w:t>419112423</w:t>
            </w:r>
            <w:r w:rsidRPr="0095283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9D2B2E2" w14:textId="7B938656" w:rsidR="00184B04" w:rsidRPr="00663571" w:rsidRDefault="00F10F79" w:rsidP="003F536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Вказані об’єкти є тимчасовими спорудами </w:t>
            </w:r>
            <w:r w:rsidRPr="00F10F79">
              <w:rPr>
                <w:rFonts w:ascii="Times New Roman" w:hAnsi="Times New Roman" w:cs="Times New Roman"/>
                <w:sz w:val="28"/>
                <w:szCs w:val="28"/>
              </w:rPr>
              <w:t>(лист Департаменту територіального контролю виконавчого органу Київської міської ради (Київської міської державної адміністрації) від 20.03.2025 № 073-905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84B04" w:rsidRPr="00663571" w14:paraId="18CE033A" w14:textId="77777777" w:rsidTr="00F10F79">
        <w:trPr>
          <w:cantSplit/>
        </w:trPr>
        <w:tc>
          <w:tcPr>
            <w:tcW w:w="3260" w:type="dxa"/>
          </w:tcPr>
          <w:p w14:paraId="5E44B40A" w14:textId="77777777" w:rsidR="00184B04" w:rsidRPr="00663571" w:rsidRDefault="00184B04" w:rsidP="003F5362">
            <w:pPr>
              <w:pStyle w:val="11"/>
              <w:shd w:val="clear" w:color="auto" w:fill="auto"/>
              <w:tabs>
                <w:tab w:val="left" w:pos="1861"/>
              </w:tabs>
              <w:rPr>
                <w:i w:val="0"/>
                <w:sz w:val="28"/>
                <w:szCs w:val="28"/>
              </w:rPr>
            </w:pPr>
            <w:r w:rsidRPr="00663571">
              <w:rPr>
                <w:i w:val="0"/>
                <w:sz w:val="28"/>
                <w:szCs w:val="28"/>
              </w:rPr>
              <w:t>Наявність ДПТ:</w:t>
            </w:r>
          </w:p>
        </w:tc>
        <w:tc>
          <w:tcPr>
            <w:tcW w:w="6237" w:type="dxa"/>
          </w:tcPr>
          <w:p w14:paraId="0CBBB9A7" w14:textId="35E3583D" w:rsidR="00184B04" w:rsidRPr="00993534" w:rsidRDefault="0095283F" w:rsidP="003F5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34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Детальний план території відсутній.</w:t>
            </w:r>
          </w:p>
        </w:tc>
      </w:tr>
      <w:tr w:rsidR="00184B04" w:rsidRPr="00663571" w14:paraId="006AC5AB" w14:textId="77777777" w:rsidTr="00F10F79">
        <w:trPr>
          <w:cantSplit/>
        </w:trPr>
        <w:tc>
          <w:tcPr>
            <w:tcW w:w="3260" w:type="dxa"/>
          </w:tcPr>
          <w:p w14:paraId="325E8D74" w14:textId="77777777" w:rsidR="00184B04" w:rsidRPr="00663571" w:rsidRDefault="00184B04" w:rsidP="003F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Функціональне призначення згідно з Генпланом:</w:t>
            </w:r>
          </w:p>
        </w:tc>
        <w:tc>
          <w:tcPr>
            <w:tcW w:w="6237" w:type="dxa"/>
          </w:tcPr>
          <w:p w14:paraId="70657C9F" w14:textId="659599E9" w:rsidR="00184B04" w:rsidRPr="00993534" w:rsidRDefault="00993534" w:rsidP="003F5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34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забудови багатоповерхової.</w:t>
            </w:r>
          </w:p>
        </w:tc>
      </w:tr>
      <w:tr w:rsidR="00184B04" w:rsidRPr="00663571" w14:paraId="7E2FA7C0" w14:textId="77777777" w:rsidTr="00F10F79">
        <w:trPr>
          <w:cantSplit/>
        </w:trPr>
        <w:tc>
          <w:tcPr>
            <w:tcW w:w="3260" w:type="dxa"/>
          </w:tcPr>
          <w:p w14:paraId="1B2DE5CC" w14:textId="77777777" w:rsidR="00184B04" w:rsidRPr="00663571" w:rsidRDefault="00184B04" w:rsidP="003F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Правовий режим:</w:t>
            </w:r>
          </w:p>
        </w:tc>
        <w:tc>
          <w:tcPr>
            <w:tcW w:w="6237" w:type="dxa"/>
          </w:tcPr>
          <w:p w14:paraId="4AD5912F" w14:textId="595F89BD" w:rsidR="00184B04" w:rsidRPr="00993534" w:rsidRDefault="00993534" w:rsidP="003F5362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4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Земельна ділянка належить до земель комунальної власності територіальної громади міста Києва,</w:t>
            </w:r>
          </w:p>
        </w:tc>
      </w:tr>
      <w:tr w:rsidR="00184B04" w:rsidRPr="00663571" w14:paraId="6B806D38" w14:textId="77777777" w:rsidTr="00F10F79">
        <w:trPr>
          <w:cantSplit/>
        </w:trPr>
        <w:tc>
          <w:tcPr>
            <w:tcW w:w="3260" w:type="dxa"/>
          </w:tcPr>
          <w:p w14:paraId="05437A06" w14:textId="77777777" w:rsidR="00184B04" w:rsidRPr="00663571" w:rsidRDefault="00184B04" w:rsidP="003F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08ACE2AB" w14:textId="77777777" w:rsidR="00184B04" w:rsidRPr="00663571" w:rsidRDefault="00184B04" w:rsidP="003F5362">
            <w:pPr>
              <w:pStyle w:val="af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iCs/>
                <w:sz w:val="28"/>
                <w:szCs w:val="28"/>
              </w:rPr>
              <w:t>Земельна ділянка не входить до зеленої зони.</w:t>
            </w:r>
          </w:p>
        </w:tc>
      </w:tr>
    </w:tbl>
    <w:p w14:paraId="2408C952" w14:textId="77777777" w:rsidR="00184B04" w:rsidRPr="00663571" w:rsidRDefault="00184B04" w:rsidP="00184B04">
      <w:pPr>
        <w:pStyle w:val="af4"/>
        <w:shd w:val="clear" w:color="auto" w:fill="auto"/>
        <w:rPr>
          <w:sz w:val="28"/>
          <w:szCs w:val="28"/>
        </w:rPr>
      </w:pPr>
    </w:p>
    <w:p w14:paraId="002022CA" w14:textId="77777777" w:rsidR="00184B04" w:rsidRPr="00663571" w:rsidRDefault="00184B04" w:rsidP="00184B04">
      <w:pPr>
        <w:pStyle w:val="11"/>
        <w:numPr>
          <w:ilvl w:val="0"/>
          <w:numId w:val="2"/>
        </w:numPr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Стан нормативно-правової бази у даній сфері правового регулювання.</w:t>
      </w:r>
    </w:p>
    <w:p w14:paraId="6BE3443F" w14:textId="77777777" w:rsidR="00184B04" w:rsidRDefault="00184B04" w:rsidP="00184B04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Загальні засади та порядок визнання </w:t>
      </w:r>
      <w:r w:rsidRPr="00663571">
        <w:rPr>
          <w:i w:val="0"/>
          <w:iCs w:val="0"/>
          <w:sz w:val="28"/>
          <w:szCs w:val="28"/>
        </w:rPr>
        <w:t>недійсним рішення Київської міської ради та розірвання договору оренди земельної ділянки</w:t>
      </w:r>
      <w:r w:rsidRPr="00663571">
        <w:rPr>
          <w:i w:val="0"/>
          <w:sz w:val="28"/>
          <w:szCs w:val="28"/>
        </w:rPr>
        <w:t xml:space="preserve"> визначено Земельним кодексом України, законами України «Про </w:t>
      </w:r>
      <w:proofErr w:type="spellStart"/>
      <w:r w:rsidRPr="00663571">
        <w:rPr>
          <w:i w:val="0"/>
          <w:sz w:val="28"/>
          <w:szCs w:val="28"/>
        </w:rPr>
        <w:t>адміністративниу</w:t>
      </w:r>
      <w:proofErr w:type="spellEnd"/>
      <w:r w:rsidRPr="00663571">
        <w:rPr>
          <w:i w:val="0"/>
          <w:sz w:val="28"/>
          <w:szCs w:val="28"/>
        </w:rPr>
        <w:t xml:space="preserve"> процедуру», «Про оренду землі».</w:t>
      </w:r>
    </w:p>
    <w:p w14:paraId="08BE0CD1" w14:textId="77777777" w:rsidR="00184B04" w:rsidRPr="00663571" w:rsidRDefault="00184B04" w:rsidP="00184B04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Разом із цим, суб’єкт подання керується </w:t>
      </w:r>
      <w:r w:rsidRPr="00663571">
        <w:rPr>
          <w:i w:val="0"/>
          <w:iCs w:val="0"/>
          <w:sz w:val="28"/>
          <w:szCs w:val="28"/>
        </w:rPr>
        <w:t>норм</w:t>
      </w:r>
      <w:r>
        <w:rPr>
          <w:i w:val="0"/>
          <w:iCs w:val="0"/>
          <w:sz w:val="28"/>
          <w:szCs w:val="28"/>
        </w:rPr>
        <w:t>ою</w:t>
      </w:r>
      <w:r w:rsidRPr="00663571">
        <w:rPr>
          <w:i w:val="0"/>
          <w:iCs w:val="0"/>
          <w:sz w:val="28"/>
          <w:szCs w:val="28"/>
        </w:rPr>
        <w:t xml:space="preserve"> частини п’ятої статті 13 Закону України «Про судоустрій і статус суддів» щодо обов’язковості висновків щодо застосування норм права, викладених у постановах Верховного Суду, для всіх суб’єктів владних повноважень, які застосовують у своїй діяльності нормативно-правовий акт, що містить відповідну норму права</w:t>
      </w:r>
      <w:r>
        <w:rPr>
          <w:i w:val="0"/>
          <w:iCs w:val="0"/>
          <w:sz w:val="28"/>
          <w:szCs w:val="28"/>
        </w:rPr>
        <w:t>.</w:t>
      </w:r>
    </w:p>
    <w:p w14:paraId="7DFE6D63" w14:textId="77777777" w:rsidR="00184B04" w:rsidRPr="00663571" w:rsidRDefault="00184B04" w:rsidP="00184B04">
      <w:pPr>
        <w:pStyle w:val="11"/>
        <w:shd w:val="clear" w:color="auto" w:fill="auto"/>
        <w:tabs>
          <w:tab w:val="left" w:pos="709"/>
          <w:tab w:val="left" w:pos="851"/>
          <w:tab w:val="left" w:pos="993"/>
        </w:tabs>
        <w:ind w:firstLine="709"/>
        <w:jc w:val="both"/>
        <w:rPr>
          <w:i w:val="0"/>
          <w:sz w:val="28"/>
          <w:szCs w:val="28"/>
        </w:rPr>
      </w:pPr>
      <w:proofErr w:type="spellStart"/>
      <w:r w:rsidRPr="00663571">
        <w:rPr>
          <w:i w:val="0"/>
          <w:sz w:val="28"/>
          <w:szCs w:val="28"/>
        </w:rPr>
        <w:t>Проєкт</w:t>
      </w:r>
      <w:proofErr w:type="spellEnd"/>
      <w:r w:rsidRPr="00663571">
        <w:rPr>
          <w:i w:val="0"/>
          <w:sz w:val="28"/>
          <w:szCs w:val="28"/>
        </w:rPr>
        <w:t xml:space="preserve"> рішення містить інформацію про заявника, що відноситься до інформації з обмеженим доступом у розумінні статті 6 Закону України «Про доступ до публічної інформації».</w:t>
      </w:r>
    </w:p>
    <w:p w14:paraId="24B76966" w14:textId="77777777" w:rsidR="00184B04" w:rsidRPr="00663571" w:rsidRDefault="00184B04" w:rsidP="00184B04">
      <w:pPr>
        <w:pStyle w:val="11"/>
        <w:shd w:val="clear" w:color="auto" w:fill="auto"/>
        <w:tabs>
          <w:tab w:val="left" w:pos="993"/>
        </w:tabs>
        <w:spacing w:after="120"/>
        <w:ind w:firstLine="709"/>
        <w:jc w:val="both"/>
        <w:rPr>
          <w:i w:val="0"/>
          <w:sz w:val="28"/>
          <w:szCs w:val="28"/>
        </w:rPr>
      </w:pPr>
      <w:proofErr w:type="spellStart"/>
      <w:r w:rsidRPr="00663571">
        <w:rPr>
          <w:i w:val="0"/>
          <w:sz w:val="28"/>
          <w:szCs w:val="28"/>
        </w:rPr>
        <w:t>Проєкт</w:t>
      </w:r>
      <w:proofErr w:type="spellEnd"/>
      <w:r w:rsidRPr="00663571">
        <w:rPr>
          <w:i w:val="0"/>
          <w:sz w:val="28"/>
          <w:szCs w:val="28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B534067" w14:textId="77777777" w:rsidR="00184B04" w:rsidRPr="00663571" w:rsidRDefault="00184B04" w:rsidP="00184B04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</w:p>
    <w:p w14:paraId="33DA7ACC" w14:textId="77777777" w:rsidR="00184B04" w:rsidRPr="00663571" w:rsidRDefault="00184B04" w:rsidP="00184B04">
      <w:pPr>
        <w:pStyle w:val="11"/>
        <w:numPr>
          <w:ilvl w:val="0"/>
          <w:numId w:val="2"/>
        </w:numPr>
        <w:shd w:val="clear" w:color="auto" w:fill="auto"/>
        <w:tabs>
          <w:tab w:val="left" w:pos="72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Фінансово-економічне обґрунтування.</w:t>
      </w:r>
    </w:p>
    <w:p w14:paraId="5FA5B39B" w14:textId="77777777" w:rsidR="00184B04" w:rsidRPr="00663571" w:rsidRDefault="00184B04" w:rsidP="00184B04">
      <w:pPr>
        <w:pStyle w:val="11"/>
        <w:tabs>
          <w:tab w:val="left" w:pos="426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>Реалізація рішення не потребує додаткових витрат міського бюджету.</w:t>
      </w:r>
    </w:p>
    <w:p w14:paraId="72E836CB" w14:textId="5E919999" w:rsidR="00184B04" w:rsidRPr="00663571" w:rsidRDefault="00184B04" w:rsidP="00184B04">
      <w:pPr>
        <w:pStyle w:val="11"/>
        <w:tabs>
          <w:tab w:val="left" w:pos="426"/>
          <w:tab w:val="left" w:pos="993"/>
        </w:tabs>
        <w:ind w:firstLine="709"/>
        <w:jc w:val="both"/>
        <w:rPr>
          <w:b/>
          <w:i w:val="0"/>
          <w:sz w:val="28"/>
          <w:szCs w:val="28"/>
          <w:u w:val="single"/>
        </w:rPr>
      </w:pPr>
      <w:r w:rsidRPr="00663571">
        <w:rPr>
          <w:i w:val="0"/>
          <w:sz w:val="28"/>
          <w:szCs w:val="28"/>
        </w:rPr>
        <w:t xml:space="preserve">Орієнтовні втрати бюджету міста Києва від оренди земельної ділянки відповідно до Податкового кодексу України, Закону України «Про оренду землі» та рішення Київської міської ради 14 грудня 2023 року № 7531/7572 «Про бюджет міста Києва на 2024 рік» складуть: </w:t>
      </w:r>
      <w:r w:rsidR="00F10F79">
        <w:rPr>
          <w:i w:val="0"/>
          <w:iCs w:val="0"/>
          <w:color w:val="000000"/>
          <w:sz w:val="28"/>
          <w:szCs w:val="28"/>
          <w:lang w:eastAsia="uk-UA" w:bidi="uk-UA"/>
        </w:rPr>
        <w:t>414 704</w:t>
      </w:r>
      <w:r w:rsidR="00993534" w:rsidRPr="00993534">
        <w:rPr>
          <w:i w:val="0"/>
          <w:iCs w:val="0"/>
          <w:color w:val="000000"/>
          <w:sz w:val="28"/>
          <w:szCs w:val="28"/>
          <w:lang w:eastAsia="uk-UA" w:bidi="uk-UA"/>
        </w:rPr>
        <w:t xml:space="preserve"> грн </w:t>
      </w:r>
      <w:r w:rsidR="00F10F79">
        <w:rPr>
          <w:i w:val="0"/>
          <w:iCs w:val="0"/>
          <w:color w:val="000000"/>
          <w:sz w:val="28"/>
          <w:szCs w:val="28"/>
          <w:lang w:eastAsia="uk-UA" w:bidi="uk-UA"/>
        </w:rPr>
        <w:t>85</w:t>
      </w:r>
      <w:r w:rsidR="00993534" w:rsidRPr="00993534">
        <w:rPr>
          <w:i w:val="0"/>
          <w:iCs w:val="0"/>
          <w:color w:val="000000"/>
          <w:sz w:val="28"/>
          <w:szCs w:val="28"/>
          <w:lang w:eastAsia="uk-UA" w:bidi="uk-UA"/>
        </w:rPr>
        <w:t xml:space="preserve"> коп.</w:t>
      </w:r>
      <w:r w:rsidR="00993534" w:rsidRPr="00663571">
        <w:rPr>
          <w:i w:val="0"/>
          <w:sz w:val="28"/>
          <w:szCs w:val="28"/>
        </w:rPr>
        <w:t xml:space="preserve"> </w:t>
      </w:r>
      <w:r w:rsidRPr="00663571">
        <w:rPr>
          <w:i w:val="0"/>
          <w:sz w:val="28"/>
          <w:szCs w:val="28"/>
        </w:rPr>
        <w:t>(</w:t>
      </w:r>
      <w:r w:rsidR="00F10F79">
        <w:rPr>
          <w:i w:val="0"/>
          <w:sz w:val="28"/>
          <w:szCs w:val="28"/>
        </w:rPr>
        <w:t>3</w:t>
      </w:r>
      <w:r w:rsidRPr="00663571">
        <w:rPr>
          <w:i w:val="0"/>
          <w:sz w:val="28"/>
          <w:szCs w:val="28"/>
        </w:rPr>
        <w:t>%).</w:t>
      </w:r>
    </w:p>
    <w:p w14:paraId="518B02C1" w14:textId="77777777" w:rsidR="00184B04" w:rsidRPr="00663571" w:rsidRDefault="00184B04" w:rsidP="00184B04">
      <w:pPr>
        <w:pStyle w:val="11"/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</w:p>
    <w:p w14:paraId="5CF58D70" w14:textId="77777777" w:rsidR="00184B04" w:rsidRPr="00663571" w:rsidRDefault="00184B04" w:rsidP="00184B04">
      <w:pPr>
        <w:pStyle w:val="11"/>
        <w:numPr>
          <w:ilvl w:val="0"/>
          <w:numId w:val="2"/>
        </w:numPr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Прогноз соціально-економічних та інших наслідків прийняття рішення.</w:t>
      </w:r>
    </w:p>
    <w:p w14:paraId="533FEE08" w14:textId="54A4C100" w:rsidR="00184B04" w:rsidRPr="00663571" w:rsidRDefault="00184B04" w:rsidP="00184B04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Наслідками прийняття розробленого </w:t>
      </w:r>
      <w:proofErr w:type="spellStart"/>
      <w:r w:rsidRPr="00663571">
        <w:rPr>
          <w:i w:val="0"/>
          <w:sz w:val="28"/>
          <w:szCs w:val="28"/>
        </w:rPr>
        <w:t>проєкту</w:t>
      </w:r>
      <w:proofErr w:type="spellEnd"/>
      <w:r w:rsidRPr="00663571">
        <w:rPr>
          <w:i w:val="0"/>
          <w:sz w:val="28"/>
          <w:szCs w:val="28"/>
        </w:rPr>
        <w:t xml:space="preserve"> рішення стане визнання недійсним рішення Київської міської ради </w:t>
      </w:r>
      <w:r w:rsidR="00F10F79" w:rsidRPr="00F10F79">
        <w:rPr>
          <w:i w:val="0"/>
          <w:sz w:val="28"/>
          <w:szCs w:val="28"/>
        </w:rPr>
        <w:t>від 08.02.2024 № 7750/7791 «Про зміну цільового призначення земельної ділянки ТОВАРИСТВУ З ОБМЕЖЕНОЮ ВІДПОВІДАЛЬНІСТЮ «ДОРАДО» для реконструкції майнового комплексу в житловий комплекс з вбудовано-прибудованими об'єктами ринкової інфраструктури з подальшою їх експлуатацією та обслуговуванням на вул. Автозаводській, 72а в Оболонському районі міста Києва» (528839673)</w:t>
      </w:r>
      <w:r w:rsidRPr="00663571">
        <w:rPr>
          <w:i w:val="0"/>
          <w:sz w:val="28"/>
          <w:szCs w:val="28"/>
        </w:rPr>
        <w:t xml:space="preserve"> із зворотною дією в часі (тобто з дня набрання ним чинності).</w:t>
      </w:r>
    </w:p>
    <w:p w14:paraId="569B9BC5" w14:textId="77777777" w:rsidR="00184B04" w:rsidRDefault="00184B04" w:rsidP="00184B04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3BFDE" w14:textId="68447C7A" w:rsidR="00184B04" w:rsidRDefault="00184B04" w:rsidP="00184B04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Суб’єктом подання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</w:t>
      </w:r>
      <w:r w:rsidR="000B3E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заступник міського голови – секретар Київської міської ради Володимир БОНДАРЕНКО</w:t>
      </w:r>
      <w:r>
        <w:rPr>
          <w:rFonts w:ascii="Times New Roman" w:hAnsi="Times New Roman" w:cs="Times New Roman"/>
          <w:sz w:val="28"/>
          <w:szCs w:val="28"/>
        </w:rPr>
        <w:t xml:space="preserve">. Особою, відповідальною за супроводження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та доповідачем під час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пленарного засідання Київської міської ради є </w:t>
      </w:r>
      <w:r w:rsidR="000B3E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заступник міського голови – секретар Київської міської ради Володимир БОНДАРЕНКО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45F52" w14:textId="77777777" w:rsidR="00184B04" w:rsidRDefault="00184B04" w:rsidP="00184B04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9A50F" w14:textId="77777777" w:rsidR="00184B04" w:rsidRDefault="00184B04" w:rsidP="00184B04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50D061" w14:textId="77777777" w:rsidR="000B3E9C" w:rsidRPr="000B3E9C" w:rsidRDefault="000B3E9C" w:rsidP="000B3E9C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48570090" w14:textId="77777777" w:rsidR="000B3E9C" w:rsidRPr="000B3E9C" w:rsidRDefault="000B3E9C" w:rsidP="000B3E9C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0B3E9C"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09E1D8A5" w14:textId="77777777" w:rsidR="00616069" w:rsidRPr="00A6646B" w:rsidRDefault="00616069" w:rsidP="000B3E9C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6069" w:rsidRPr="00A6646B" w:rsidSect="00D3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</w:lvl>
    <w:lvl w:ilvl="1" w:tplc="04220019">
      <w:start w:val="1"/>
      <w:numFmt w:val="lowerLetter"/>
      <w:lvlText w:val="%2."/>
      <w:lvlJc w:val="left"/>
      <w:pPr>
        <w:ind w:left="1424" w:hanging="360"/>
      </w:pPr>
    </w:lvl>
    <w:lvl w:ilvl="2" w:tplc="0422001B">
      <w:start w:val="1"/>
      <w:numFmt w:val="lowerRoman"/>
      <w:lvlText w:val="%3."/>
      <w:lvlJc w:val="right"/>
      <w:pPr>
        <w:ind w:left="2144" w:hanging="180"/>
      </w:pPr>
    </w:lvl>
    <w:lvl w:ilvl="3" w:tplc="0422000F">
      <w:start w:val="1"/>
      <w:numFmt w:val="decimal"/>
      <w:lvlText w:val="%4."/>
      <w:lvlJc w:val="left"/>
      <w:pPr>
        <w:ind w:left="2864" w:hanging="360"/>
      </w:pPr>
    </w:lvl>
    <w:lvl w:ilvl="4" w:tplc="04220019">
      <w:start w:val="1"/>
      <w:numFmt w:val="lowerLetter"/>
      <w:lvlText w:val="%5."/>
      <w:lvlJc w:val="left"/>
      <w:pPr>
        <w:ind w:left="3584" w:hanging="360"/>
      </w:pPr>
    </w:lvl>
    <w:lvl w:ilvl="5" w:tplc="0422001B">
      <w:start w:val="1"/>
      <w:numFmt w:val="lowerRoman"/>
      <w:lvlText w:val="%6."/>
      <w:lvlJc w:val="right"/>
      <w:pPr>
        <w:ind w:left="4304" w:hanging="180"/>
      </w:pPr>
    </w:lvl>
    <w:lvl w:ilvl="6" w:tplc="0422000F">
      <w:start w:val="1"/>
      <w:numFmt w:val="decimal"/>
      <w:lvlText w:val="%7."/>
      <w:lvlJc w:val="left"/>
      <w:pPr>
        <w:ind w:left="5024" w:hanging="360"/>
      </w:pPr>
    </w:lvl>
    <w:lvl w:ilvl="7" w:tplc="04220019">
      <w:start w:val="1"/>
      <w:numFmt w:val="lowerLetter"/>
      <w:lvlText w:val="%8."/>
      <w:lvlJc w:val="left"/>
      <w:pPr>
        <w:ind w:left="5744" w:hanging="360"/>
      </w:pPr>
    </w:lvl>
    <w:lvl w:ilvl="8" w:tplc="0422001B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FAD2DB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346EA7"/>
    <w:multiLevelType w:val="hybridMultilevel"/>
    <w:tmpl w:val="57E2FA6A"/>
    <w:lvl w:ilvl="0" w:tplc="B9B60968">
      <w:start w:val="8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941844196">
    <w:abstractNumId w:val="0"/>
  </w:num>
  <w:num w:numId="2" w16cid:durableId="2068145275">
    <w:abstractNumId w:val="1"/>
  </w:num>
  <w:num w:numId="3" w16cid:durableId="1379158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6B"/>
    <w:rsid w:val="000B3E9C"/>
    <w:rsid w:val="000B6E15"/>
    <w:rsid w:val="00184B04"/>
    <w:rsid w:val="00216F73"/>
    <w:rsid w:val="002C10DD"/>
    <w:rsid w:val="002D6E77"/>
    <w:rsid w:val="00380D54"/>
    <w:rsid w:val="00383656"/>
    <w:rsid w:val="003D290B"/>
    <w:rsid w:val="003F1951"/>
    <w:rsid w:val="00456176"/>
    <w:rsid w:val="004D335A"/>
    <w:rsid w:val="00552CB4"/>
    <w:rsid w:val="005E4B8E"/>
    <w:rsid w:val="00616069"/>
    <w:rsid w:val="0077133D"/>
    <w:rsid w:val="007F6C9D"/>
    <w:rsid w:val="00845632"/>
    <w:rsid w:val="008872F9"/>
    <w:rsid w:val="00890B5E"/>
    <w:rsid w:val="008C5822"/>
    <w:rsid w:val="0095283F"/>
    <w:rsid w:val="009804C1"/>
    <w:rsid w:val="00993534"/>
    <w:rsid w:val="009E7B2B"/>
    <w:rsid w:val="00A6646B"/>
    <w:rsid w:val="00BD0EF5"/>
    <w:rsid w:val="00BF08FD"/>
    <w:rsid w:val="00BF5C59"/>
    <w:rsid w:val="00C431CF"/>
    <w:rsid w:val="00D327E3"/>
    <w:rsid w:val="00D71203"/>
    <w:rsid w:val="00DB794B"/>
    <w:rsid w:val="00E141CE"/>
    <w:rsid w:val="00E6623A"/>
    <w:rsid w:val="00F10F79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BBC1"/>
  <w15:chartTrackingRefBased/>
  <w15:docId w15:val="{99CF41A5-30F3-4F50-9D20-46C85A8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F79"/>
  </w:style>
  <w:style w:type="paragraph" w:styleId="1">
    <w:name w:val="heading 1"/>
    <w:basedOn w:val="a"/>
    <w:next w:val="a"/>
    <w:link w:val="10"/>
    <w:uiPriority w:val="9"/>
    <w:qFormat/>
    <w:rsid w:val="00A66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4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4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6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4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64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646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rsid w:val="00456176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kern w:val="0"/>
      <w:szCs w:val="20"/>
      <w:lang w:val="ru-RU" w:eastAsia="uk-UA"/>
      <w14:ligatures w14:val="none"/>
    </w:rPr>
  </w:style>
  <w:style w:type="character" w:styleId="af">
    <w:name w:val="Emphasis"/>
    <w:basedOn w:val="a0"/>
    <w:uiPriority w:val="20"/>
    <w:qFormat/>
    <w:rsid w:val="00FE2397"/>
    <w:rPr>
      <w:i/>
      <w:iCs/>
    </w:rPr>
  </w:style>
  <w:style w:type="character" w:customStyle="1" w:styleId="af0">
    <w:name w:val="Другое_"/>
    <w:basedOn w:val="a0"/>
    <w:link w:val="af1"/>
    <w:rsid w:val="00184B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2">
    <w:name w:val="Основной текст_"/>
    <w:basedOn w:val="a0"/>
    <w:link w:val="11"/>
    <w:rsid w:val="00184B0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184B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1">
    <w:name w:val="Другое"/>
    <w:basedOn w:val="a"/>
    <w:link w:val="af0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f2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f4">
    <w:name w:val="Подпись к таблице"/>
    <w:basedOn w:val="a"/>
    <w:link w:val="af3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184B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7532</Words>
  <Characters>4294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Володимир</dc:creator>
  <cp:keywords/>
  <dc:description/>
  <cp:lastModifiedBy>Бондаренко Володимир</cp:lastModifiedBy>
  <cp:revision>4</cp:revision>
  <cp:lastPrinted>2025-03-24T14:20:00Z</cp:lastPrinted>
  <dcterms:created xsi:type="dcterms:W3CDTF">2025-03-21T14:44:00Z</dcterms:created>
  <dcterms:modified xsi:type="dcterms:W3CDTF">2025-03-24T14:20:00Z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2025-02-24T16:00:22Z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d98273f0-e482-43d7-8af6-a020e389ec03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