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CE" w:rsidRDefault="002654CE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4CE" w:rsidRDefault="002C2627">
      <w:pPr>
        <w:pStyle w:val="2"/>
        <w:numPr>
          <w:ilvl w:val="1"/>
          <w:numId w:val="1"/>
        </w:numPr>
        <w:spacing w:before="0" w:after="0" w:line="276" w:lineRule="auto"/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ПРОТОКОЛ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</w:t>
      </w:r>
    </w:p>
    <w:p w:rsidR="002654CE" w:rsidRDefault="002C2627">
      <w:pPr>
        <w:pStyle w:val="a6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засідання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Комісії</w:t>
      </w:r>
      <w:proofErr w:type="spellEnd"/>
      <w:r>
        <w:rPr>
          <w:b/>
          <w:sz w:val="28"/>
          <w:szCs w:val="28"/>
          <w:lang w:val="ru-RU"/>
        </w:rPr>
        <w:t xml:space="preserve"> з </w:t>
      </w:r>
      <w:proofErr w:type="spellStart"/>
      <w:r>
        <w:rPr>
          <w:b/>
          <w:sz w:val="28"/>
          <w:szCs w:val="28"/>
          <w:lang w:val="ru-RU"/>
        </w:rPr>
        <w:t>проведення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оцінки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корупційних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ризиків</w:t>
      </w:r>
      <w:proofErr w:type="spellEnd"/>
      <w:r>
        <w:rPr>
          <w:b/>
          <w:sz w:val="28"/>
          <w:szCs w:val="28"/>
          <w:lang w:val="ru-RU"/>
        </w:rPr>
        <w:t xml:space="preserve"> у </w:t>
      </w:r>
      <w:proofErr w:type="spellStart"/>
      <w:r>
        <w:rPr>
          <w:b/>
          <w:sz w:val="28"/>
          <w:szCs w:val="28"/>
          <w:lang w:val="ru-RU"/>
        </w:rPr>
        <w:t>діяльності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2654CE" w:rsidRDefault="002C2627">
      <w:pPr>
        <w:pStyle w:val="a6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Київської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ради</w:t>
      </w:r>
    </w:p>
    <w:p w:rsidR="002654CE" w:rsidRDefault="002654CE">
      <w:pPr>
        <w:pStyle w:val="1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Київ</w:t>
      </w:r>
      <w:proofErr w:type="spellEnd"/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Хрещатик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>, 36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5 поверх,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514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29 листопада 2017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14 год. 00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2654CE" w:rsidRDefault="002654CE">
      <w:pPr>
        <w:pStyle w:val="1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Склад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– 15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– 10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: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Слончак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Хацевич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І.М.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Бондарчук О.В.,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>Онуфрійчук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 В.М.,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>Осадчук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 А.П.,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>Поживанов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 О.М., Кутузова О.М.,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>Нарубалюк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 І.П., Яценко О.С.,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>Перченко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 В.О.</w:t>
      </w:r>
    </w:p>
    <w:p w:rsidR="002654CE" w:rsidRDefault="002C2627">
      <w:pPr>
        <w:pStyle w:val="1"/>
        <w:tabs>
          <w:tab w:val="left" w:pos="0"/>
          <w:tab w:val="left" w:pos="851"/>
        </w:tabs>
        <w:spacing w:line="276" w:lineRule="auto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ru-RU" w:eastAsia="uk-UA"/>
        </w:rPr>
        <w:t>Відсутні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 w:eastAsia="uk-UA"/>
        </w:rPr>
        <w:t xml:space="preserve"> – 5 ос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>іб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 w:eastAsia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Прокопів В.В.,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 w:eastAsia="uk-UA"/>
        </w:rPr>
        <w:t xml:space="preserve">Омельченко О.О.,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>Огородник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С.М.,</w:t>
      </w:r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>Чебанова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Ю.С.,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Федорів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І.П.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Інші присутні: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працівники секретаріату Київської міської ради Боднар Ю.М., Бориславська М.С. та помічники-консультанти депутатів Срібняк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Фарбота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М.Р.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ПОРЯДКУ </w:t>
      </w:r>
      <w:r>
        <w:rPr>
          <w:rFonts w:ascii="Times New Roman" w:hAnsi="Times New Roman"/>
          <w:b/>
          <w:sz w:val="28"/>
          <w:szCs w:val="28"/>
          <w:lang w:val="uk-UA"/>
        </w:rPr>
        <w:t>ДЕННОГО</w:t>
      </w:r>
    </w:p>
    <w:p w:rsidR="002654CE" w:rsidRDefault="002654CE">
      <w:pPr>
        <w:pStyle w:val="10"/>
        <w:tabs>
          <w:tab w:val="left" w:pos="993"/>
        </w:tabs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54CE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 Про затвердження Регламенту роботи Комісії з проведення оцінки корупційних ризиків у діяльності Київської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654CE" w:rsidRPr="002C2627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 Про питання щодо досвіду зарубіжних країн з провед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ення оцінки корупційних ризиків.</w:t>
      </w:r>
    </w:p>
    <w:p w:rsidR="002654CE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питання робочого плану оцінки </w:t>
      </w:r>
      <w:r>
        <w:rPr>
          <w:rFonts w:ascii="Times New Roman" w:hAnsi="Times New Roman"/>
          <w:sz w:val="28"/>
          <w:szCs w:val="28"/>
          <w:lang w:val="uk-UA"/>
        </w:rPr>
        <w:t>корупційних ризиків у діяльності Київської міської ради.</w:t>
      </w:r>
    </w:p>
    <w:p w:rsidR="002654CE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3.1. Про затвердження робочого плану оцінки корупційних ризиків у діяльності Київської міської ради.</w:t>
      </w:r>
    </w:p>
    <w:p w:rsidR="002654CE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3.2. Про оцінку ймовірності виникнення корупційного ризику та оцінку наслідків корупційного правоп</w:t>
      </w:r>
      <w:r>
        <w:rPr>
          <w:rFonts w:ascii="Times New Roman" w:hAnsi="Times New Roman"/>
          <w:sz w:val="28"/>
          <w:szCs w:val="28"/>
          <w:lang w:val="uk-UA"/>
        </w:rPr>
        <w:t>орушення чи правопорушення, пов’язаного з корупцією.</w:t>
      </w:r>
    </w:p>
    <w:p w:rsidR="002654CE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Про розробку плану заходів щодо усунення або мінімізації корупційних ризиків, визначених </w:t>
      </w:r>
      <w:bookmarkStart w:id="1" w:name="_GoBack1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робочим планом оцінки корупційних ризиків у діяльності Київської міської ради.  </w:t>
      </w:r>
    </w:p>
    <w:p w:rsidR="002654CE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4. Різне.</w:t>
      </w:r>
    </w:p>
    <w:p w:rsidR="002654CE" w:rsidRPr="002C2627" w:rsidRDefault="002C2627">
      <w:pPr>
        <w:pStyle w:val="1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4.1. Про розгляд п</w:t>
      </w:r>
      <w:r>
        <w:rPr>
          <w:rFonts w:ascii="Times New Roman" w:hAnsi="Times New Roman"/>
          <w:sz w:val="28"/>
          <w:szCs w:val="28"/>
          <w:lang w:val="uk-UA"/>
        </w:rPr>
        <w:t xml:space="preserve">итання щодо необхідності запрошення представників Національного агентства з питань запобігання корупції та інших експертів-фахівців у цій сфері на одне із засідань Комісії.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68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Виступив: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Слончак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з пропозицією об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єднати підпункти пункту 3 та розглянути як</w:t>
      </w:r>
      <w:r>
        <w:rPr>
          <w:rFonts w:ascii="Times New Roman" w:hAnsi="Times New Roman"/>
          <w:sz w:val="28"/>
          <w:szCs w:val="28"/>
          <w:lang w:val="uk-UA"/>
        </w:rPr>
        <w:t xml:space="preserve"> одне питання.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Голосували: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“за”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 0.</w:t>
      </w:r>
    </w:p>
    <w:p w:rsidR="002654CE" w:rsidRDefault="002C2627">
      <w:pPr>
        <w:pStyle w:val="1"/>
        <w:suppressLineNumbers/>
        <w:tabs>
          <w:tab w:val="left" w:pos="225"/>
        </w:tabs>
        <w:suppressAutoHyphens w:val="0"/>
        <w:spacing w:line="276" w:lineRule="auto"/>
        <w:ind w:firstLine="567"/>
        <w:contextualSpacing/>
        <w:jc w:val="both"/>
        <w:rPr>
          <w:lang w:val="ru-RU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підтримати пропозицію та прийняти порядок денний засідання з вказаною правкою.</w:t>
      </w:r>
    </w:p>
    <w:p w:rsidR="002654CE" w:rsidRDefault="002654CE">
      <w:pPr>
        <w:pStyle w:val="10"/>
        <w:tabs>
          <w:tab w:val="left" w:pos="993"/>
        </w:tabs>
        <w:spacing w:after="0" w:line="276" w:lineRule="auto"/>
        <w:ind w:left="0" w:firstLine="567"/>
        <w:jc w:val="both"/>
        <w:rPr>
          <w:rFonts w:eastAsia="Arial Unicode MS" w:cs="Times New Roman"/>
          <w:iCs/>
          <w:color w:val="000000"/>
        </w:rPr>
      </w:pP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1. Про затвердження Регламенту роботи Комісії з проведення оцінки корупційних 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>ризиків у діяльності Київської міської ради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Слончака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В.В., який зазначив, що проект Регламенту є узагальненим варіантом відповідно до пропозицій, наданих членами комісії з проведення оцінки корупційних ризиків у діяльності Київської міської ради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(далі - Комісія).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  <w:t>Осадчук А.П.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погодився, що остаточний проект Регламенту роботи Комісії може бути ухвалений.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  <w:t>Слончак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запропонував підтримати в цілому проект Регламенту роботи Комісії у запропонованій остаточній редакції.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Голосували: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“за”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 0.</w:t>
      </w:r>
    </w:p>
    <w:p w:rsidR="002654CE" w:rsidRPr="002C2627" w:rsidRDefault="002C2627">
      <w:pPr>
        <w:pStyle w:val="1"/>
        <w:suppressLineNumbers/>
        <w:tabs>
          <w:tab w:val="left" w:pos="225"/>
        </w:tabs>
        <w:suppressAutoHyphens w:val="0"/>
        <w:spacing w:line="276" w:lineRule="auto"/>
        <w:ind w:firstLine="567"/>
        <w:contextualSpacing/>
        <w:jc w:val="both"/>
        <w:rPr>
          <w:lang w:val="ru-RU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654CE" w:rsidRDefault="002C2627">
      <w:pPr>
        <w:pStyle w:val="10"/>
        <w:suppressLineNumbers/>
        <w:tabs>
          <w:tab w:val="left" w:pos="993"/>
        </w:tabs>
        <w:suppressAutoHyphens w:val="0"/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val="uk-UA"/>
        </w:rPr>
        <w:t>Вирішили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затвердити в цілому проект Регламенту роботи Комісії.</w:t>
      </w:r>
    </w:p>
    <w:p w:rsidR="002654CE" w:rsidRDefault="002654CE">
      <w:pPr>
        <w:pStyle w:val="1"/>
        <w:suppressLineNumbers/>
        <w:tabs>
          <w:tab w:val="left" w:pos="225"/>
        </w:tabs>
        <w:suppressAutoHyphens w:val="0"/>
        <w:spacing w:line="276" w:lineRule="auto"/>
        <w:ind w:firstLine="567"/>
        <w:contextualSpacing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both"/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 w:bidi="ar-SA"/>
        </w:rPr>
        <w:t>Про питання щодо досвіду зарубіжних країн з проведення оцінки корупційних ризиків.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Яценка О.С. з інформацією щодо досвіду зарубіжних країн з проведення оцінки корупційних ризиків, який зазначив, що управлінням з питань контролю та запобігання і протидії корупції (далі — управління)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підготовлено узагальнений перелік ідентифікованих корупційних ризиків з урахуванням міжнародного досвіду та національного законодавства.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Водночас, за інформацією Національного агентства з питань запобігання корупції, окремо створеного та затвердженого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державному рівні переліку ключових ідентифікованих корупційних ризиків в органах влади не існує.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Кожний суб’єкт в системі державного управління визначає свої ключові об’єкти оцінки корупційних ризиків та затверджує план заходів щодо їх усунення або мініміз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ації.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  <w:t>Слончак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запропонував інформацію Яценка О.С. взяти до відома.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Голосували: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“за”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 0.</w:t>
      </w:r>
    </w:p>
    <w:p w:rsidR="002654CE" w:rsidRPr="002C2627" w:rsidRDefault="002C2627">
      <w:pPr>
        <w:pStyle w:val="1"/>
        <w:suppressLineNumbers/>
        <w:tabs>
          <w:tab w:val="left" w:pos="225"/>
        </w:tabs>
        <w:suppressAutoHyphens w:val="0"/>
        <w:ind w:firstLine="567"/>
        <w:jc w:val="both"/>
        <w:rPr>
          <w:lang w:val="ru-RU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654CE" w:rsidRDefault="002C2627">
      <w:pPr>
        <w:pStyle w:val="10"/>
        <w:suppressLineNumbers/>
        <w:tabs>
          <w:tab w:val="left" w:pos="993"/>
        </w:tabs>
        <w:suppressAutoHyphens w:val="0"/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val="uk-UA"/>
        </w:rPr>
        <w:t>Вирішили: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інформацію взяти до відома.</w:t>
      </w:r>
    </w:p>
    <w:p w:rsidR="002654CE" w:rsidRDefault="002654CE">
      <w:pPr>
        <w:pStyle w:val="10"/>
        <w:suppressLineNumbers/>
        <w:tabs>
          <w:tab w:val="left" w:pos="993"/>
        </w:tabs>
        <w:suppressAutoHyphens w:val="0"/>
        <w:spacing w:after="0" w:line="276" w:lineRule="auto"/>
        <w:ind w:left="0" w:firstLine="567"/>
        <w:jc w:val="both"/>
        <w:rPr>
          <w:rFonts w:eastAsia="Arial Unicode MS"/>
        </w:rPr>
      </w:pP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3. Про питання робочого плану оцінки корупційних ризиків у діяльності Київської міської ради.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Обговорення:</w:t>
      </w:r>
    </w:p>
    <w:p w:rsidR="002654CE" w:rsidRPr="002C2627" w:rsidRDefault="002C2627">
      <w:pPr>
        <w:pStyle w:val="xfmc5"/>
        <w:shd w:val="clear" w:color="auto" w:fill="FFFFFF"/>
        <w:tabs>
          <w:tab w:val="left" w:pos="851"/>
        </w:tabs>
        <w:spacing w:before="0" w:after="0" w:line="276" w:lineRule="auto"/>
        <w:ind w:firstLine="567"/>
        <w:jc w:val="both"/>
        <w:rPr>
          <w:lang w:val="ru-RU"/>
        </w:rPr>
      </w:pPr>
      <w:proofErr w:type="spellStart"/>
      <w:r>
        <w:rPr>
          <w:bCs/>
          <w:color w:val="000000"/>
          <w:sz w:val="28"/>
          <w:szCs w:val="28"/>
          <w:u w:val="single"/>
          <w:lang w:val="uk-UA"/>
        </w:rPr>
        <w:t>Слончак</w:t>
      </w:r>
      <w:proofErr w:type="spellEnd"/>
      <w:r>
        <w:rPr>
          <w:bCs/>
          <w:color w:val="000000"/>
          <w:sz w:val="28"/>
          <w:szCs w:val="28"/>
          <w:u w:val="single"/>
          <w:lang w:val="uk-UA"/>
        </w:rPr>
        <w:t xml:space="preserve"> В.В.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запропонував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обговорити строки виконання робочого плану   оцінки корупційних ризиків, а саме: кінцеву дату.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Осадчук А.П.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запропонував: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1. Відхилити узагальнений управлінням робочий план з пропозиціями наданими постійними комісіями Київської міської ради та структурними підрозділами секретаріату Київської міської ради.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 Взяти напрацювання Бондарчука О.В. щодо робочого плану за основу.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ондарчук О.В.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зазначив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>
        <w:rPr>
          <w:rFonts w:ascii="Times New Roman" w:hAnsi="Times New Roman"/>
          <w:sz w:val="28"/>
          <w:szCs w:val="28"/>
        </w:rPr>
        <w:t>розробляти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/>
          <w:sz w:val="28"/>
          <w:szCs w:val="28"/>
        </w:rPr>
        <w:t>профільне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секретаріату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та </w:t>
      </w:r>
      <w:proofErr w:type="spellStart"/>
      <w:r>
        <w:rPr>
          <w:rFonts w:ascii="Times New Roman" w:hAnsi="Times New Roman"/>
          <w:sz w:val="28"/>
          <w:szCs w:val="28"/>
        </w:rPr>
        <w:t>повідомив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розробив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>
        <w:rPr>
          <w:rFonts w:ascii="Times New Roman" w:hAnsi="Times New Roman"/>
          <w:sz w:val="28"/>
          <w:szCs w:val="28"/>
        </w:rPr>
        <w:t>помічниками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подал</w:t>
      </w:r>
      <w:r>
        <w:rPr>
          <w:rFonts w:ascii="Times New Roman" w:hAnsi="Times New Roman"/>
          <w:sz w:val="28"/>
          <w:szCs w:val="28"/>
        </w:rPr>
        <w:t>ьшому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взяти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основу.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Онуфрійчук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запропонував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доопрацювати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плану, </w:t>
      </w:r>
      <w:proofErr w:type="spellStart"/>
      <w:r>
        <w:rPr>
          <w:rFonts w:ascii="Times New Roman" w:hAnsi="Times New Roman"/>
          <w:sz w:val="28"/>
          <w:szCs w:val="28"/>
        </w:rPr>
        <w:t>узагальненого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зазначив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когось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якісь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розсилати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заздалегідь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усім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членам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потім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Також він з</w:t>
      </w:r>
      <w:proofErr w:type="spellStart"/>
      <w:r>
        <w:rPr>
          <w:rFonts w:ascii="Times New Roman" w:hAnsi="Times New Roman"/>
          <w:sz w:val="28"/>
          <w:szCs w:val="28"/>
        </w:rPr>
        <w:t>азначив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відкласти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Слончак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запропонував створити робочу групу з представників управління з питань контролю та запобігання і протидії кор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упції, управління правового забезпечення діяльності Київської міської ради та членів Комісії з подальшим винесенням на розгляд Комісії узгодженого проекту робочого плану.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Осадчук А.П.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підтримав пропозицію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Слончака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В.В. щодо створення робочої групи та нагол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осив, що потрібно провести хоча б два засідання робочої групи по проекту робочого плану, який був запропонований Бондарчуком О.В., після чого можна буде винести рішення.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Онуфрійчук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запропонував у робочому плані оцінки корупційних ризиків зазначати при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клади для кращого розуміння корупційних ризиків.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Бондарчук О.В.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зазначив, що готовий розіслати усім членам Комісії свій проект робочого плану, та запропонував до першого засідання робочої групи надати членам Комісії свої пропозиції.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Слончак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запропонув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ав проголосувати за створення робочої групи, яка проведе перше засідання  06.12.2017, завершить свою роботу до 18.12.2017 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надасть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проект робочого плану членам Комісії до 18.12.2017.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“за”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 0.</w:t>
      </w:r>
    </w:p>
    <w:p w:rsidR="002654CE" w:rsidRPr="002C2627" w:rsidRDefault="002C2627">
      <w:pPr>
        <w:pStyle w:val="1"/>
        <w:suppressLineNumbers/>
        <w:tabs>
          <w:tab w:val="left" w:pos="225"/>
        </w:tabs>
        <w:suppressAutoHyphens w:val="0"/>
        <w:ind w:firstLine="567"/>
        <w:jc w:val="both"/>
        <w:rPr>
          <w:lang w:val="ru-RU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</w:t>
      </w: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о.</w:t>
      </w:r>
    </w:p>
    <w:p w:rsidR="002654CE" w:rsidRPr="002C2627" w:rsidRDefault="002C2627">
      <w:pPr>
        <w:pStyle w:val="xfmc5"/>
        <w:suppressLineNumbers/>
        <w:shd w:val="clear" w:color="auto" w:fill="FFFFFF"/>
        <w:tabs>
          <w:tab w:val="left" w:pos="851"/>
        </w:tabs>
        <w:spacing w:before="0" w:after="0" w:line="276" w:lineRule="auto"/>
        <w:ind w:firstLine="567"/>
        <w:jc w:val="both"/>
        <w:rPr>
          <w:lang w:val="ru-RU"/>
        </w:rPr>
      </w:pPr>
      <w:proofErr w:type="spellStart"/>
      <w:r>
        <w:rPr>
          <w:rFonts w:eastAsia="Arial Unicode MS"/>
          <w:b/>
          <w:bCs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Вирішили</w:t>
      </w:r>
      <w:proofErr w:type="spellEnd"/>
      <w:r>
        <w:rPr>
          <w:rFonts w:eastAsia="Arial Unicode MS"/>
          <w:b/>
          <w:bCs/>
          <w:iCs/>
          <w:color w:val="000000"/>
          <w:sz w:val="28"/>
          <w:szCs w:val="28"/>
          <w:u w:val="single"/>
          <w:shd w:val="clear" w:color="auto" w:fill="FFFFFF"/>
          <w:lang w:val="ru-RU"/>
        </w:rPr>
        <w:t>:</w:t>
      </w:r>
      <w:r>
        <w:rPr>
          <w:rFonts w:eastAsia="Arial Unicode MS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 Unicode MS"/>
          <w:iCs/>
          <w:color w:val="000000"/>
          <w:sz w:val="28"/>
          <w:szCs w:val="28"/>
          <w:shd w:val="clear" w:color="auto" w:fill="FFFFFF"/>
          <w:lang w:val="uk-UA"/>
        </w:rPr>
        <w:t>створити робочу групу та 06.12.2017 провести перше її засідання. До 18.12.2017 робоча група повинна надати проект робочого плану оцінки корупційних ризиків голові Комісії, розіславши його членам комісії до засідання.</w:t>
      </w:r>
    </w:p>
    <w:p w:rsidR="002654CE" w:rsidRDefault="002654CE">
      <w:pPr>
        <w:pStyle w:val="10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</w:p>
    <w:p w:rsidR="002654CE" w:rsidRPr="002C2627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  <w:rPr>
          <w:lang w:val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4. Різне. Про розгляд питання щодо необхідності запрошення представників Національного агентства з питань запобігання корупції та інших експертів-фахівців у цій сфері на одне із засідань Комісії.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пропозицію Яценка О.С. щодо необхідності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запрошенн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я представників Національного агентства з питань запобігання корупції та Національної школи суддів України.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/>
        </w:rPr>
        <w:t>Осадчук А.П.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зазначив, що потрібно запросити не більше двох представників Національного агентства з питань запобігання корупції та Національної школи суддів України на засідання робочої групи. 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Слончак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В.В. запропонував проголосувати за запрошення не більше двох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представників такого напрямку на засідання робочої групи.</w:t>
      </w: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“за”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– 0.</w:t>
      </w:r>
    </w:p>
    <w:p w:rsidR="002654CE" w:rsidRPr="002C2627" w:rsidRDefault="002C2627">
      <w:pPr>
        <w:pStyle w:val="1"/>
        <w:suppressLineNumbers/>
        <w:tabs>
          <w:tab w:val="left" w:pos="225"/>
        </w:tabs>
        <w:suppressAutoHyphens w:val="0"/>
        <w:ind w:firstLine="567"/>
        <w:jc w:val="both"/>
        <w:rPr>
          <w:lang w:val="ru-RU"/>
        </w:rPr>
      </w:pPr>
      <w:r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654CE" w:rsidRDefault="002C2627">
      <w:pPr>
        <w:pStyle w:val="10"/>
        <w:suppressLineNumbers/>
        <w:tabs>
          <w:tab w:val="left" w:pos="993"/>
        </w:tabs>
        <w:suppressAutoHyphens w:val="0"/>
        <w:spacing w:after="0" w:line="276" w:lineRule="auto"/>
        <w:ind w:left="0" w:firstLine="567"/>
        <w:jc w:val="both"/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запросити фахівців </w:t>
      </w:r>
      <w:bookmarkStart w:id="2" w:name="__DdeLink__269_417027429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Національного агентства з питань запобігання корупції та Національної школи суддів України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засідання робочої групи.</w:t>
      </w:r>
      <w:bookmarkEnd w:id="2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Провести 06.12.2017 о 14 год. 00 хв. в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каб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 512 засідання робочої групи.</w:t>
      </w:r>
    </w:p>
    <w:p w:rsidR="002654CE" w:rsidRPr="002C2627" w:rsidRDefault="002654CE">
      <w:pPr>
        <w:pStyle w:val="1"/>
        <w:suppressLineNumbers/>
        <w:tabs>
          <w:tab w:val="left" w:pos="225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4CE" w:rsidRDefault="002654CE">
      <w:pPr>
        <w:pStyle w:val="1"/>
        <w:suppressLineNumbers/>
        <w:tabs>
          <w:tab w:val="left" w:pos="225"/>
        </w:tabs>
        <w:suppressAutoHyphens w:val="0"/>
        <w:ind w:firstLine="567"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2654CE" w:rsidRDefault="002654CE">
      <w:pPr>
        <w:pStyle w:val="1"/>
        <w:suppressLineNumbers/>
        <w:tabs>
          <w:tab w:val="left" w:pos="225"/>
        </w:tabs>
        <w:suppressAutoHyphens w:val="0"/>
        <w:ind w:firstLine="567"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Заступник голови Комісії                                                                               В.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Слончак</w:t>
      </w:r>
      <w:proofErr w:type="spellEnd"/>
    </w:p>
    <w:p w:rsidR="002654CE" w:rsidRDefault="002654CE">
      <w:pPr>
        <w:pStyle w:val="10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654CE" w:rsidRDefault="002654CE">
      <w:pPr>
        <w:pStyle w:val="10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654CE" w:rsidRDefault="002654CE">
      <w:pPr>
        <w:pStyle w:val="10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654CE" w:rsidRDefault="002C2627">
      <w:pPr>
        <w:pStyle w:val="10"/>
        <w:tabs>
          <w:tab w:val="left" w:pos="993"/>
        </w:tabs>
        <w:spacing w:after="0" w:line="276" w:lineRule="auto"/>
        <w:ind w:left="0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Секретар Комісії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І.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Хацевич</w:t>
      </w:r>
      <w:proofErr w:type="spellEnd"/>
    </w:p>
    <w:sectPr w:rsidR="002654CE">
      <w:pgSz w:w="11906" w:h="16838"/>
      <w:pgMar w:top="850" w:right="424" w:bottom="850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3584"/>
    <w:multiLevelType w:val="multilevel"/>
    <w:tmpl w:val="87D6C3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D0642A"/>
    <w:multiLevelType w:val="multilevel"/>
    <w:tmpl w:val="C68444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CE"/>
    <w:rsid w:val="002654CE"/>
    <w:rsid w:val="002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5DAF-D61B-4E05-A9C4-033C763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2">
    <w:name w:val="heading 2"/>
    <w:basedOn w:val="a0"/>
    <w:link w:val="20"/>
    <w:qFormat/>
    <w:rsid w:val="0024065A"/>
    <w:pPr>
      <w:spacing w:before="200"/>
      <w:outlineLvl w:val="1"/>
    </w:pPr>
    <w:rPr>
      <w:rFonts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у виносці Знак"/>
    <w:basedOn w:val="a1"/>
    <w:uiPriority w:val="99"/>
    <w:semiHidden/>
    <w:rsid w:val="009B1527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24065A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a5">
    <w:name w:val="Основний текст Знак"/>
    <w:basedOn w:val="a1"/>
    <w:uiPriority w:val="99"/>
    <w:rsid w:val="0024065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-">
    <w:name w:val="Интернет-ссылка"/>
    <w:rsid w:val="003365B7"/>
    <w:rPr>
      <w:color w:val="000080"/>
      <w:u w:val="single"/>
    </w:rPr>
  </w:style>
  <w:style w:type="paragraph" w:customStyle="1" w:styleId="a0">
    <w:name w:val="Заголовок"/>
    <w:basedOn w:val="a"/>
    <w:next w:val="a6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6">
    <w:name w:val="Основной текст"/>
    <w:basedOn w:val="a"/>
    <w:uiPriority w:val="99"/>
    <w:unhideWhenUsed/>
    <w:rsid w:val="0024065A"/>
    <w:pPr>
      <w:widowControl w:val="0"/>
      <w:spacing w:after="120" w:line="288" w:lineRule="auto"/>
    </w:pPr>
    <w:rPr>
      <w:szCs w:val="21"/>
    </w:r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"/>
    <w:pPr>
      <w:widowControl w:val="0"/>
      <w:suppressLineNumbers/>
    </w:pPr>
    <w:rPr>
      <w:rFonts w:cs="Mangal"/>
    </w:rPr>
  </w:style>
  <w:style w:type="paragraph" w:customStyle="1" w:styleId="1">
    <w:name w:val="Звичайний1"/>
    <w:rsid w:val="003365B7"/>
    <w:pPr>
      <w:suppressAutoHyphens/>
      <w:textAlignment w:val="baseline"/>
    </w:pPr>
    <w:rPr>
      <w:rFonts w:ascii="Liberation Serif" w:eastAsia="Andale Sans UI" w:hAnsi="Liberation Serif" w:cs="Tahoma"/>
      <w:color w:val="00000A"/>
      <w:sz w:val="24"/>
      <w:szCs w:val="24"/>
      <w:lang w:val="en-US" w:eastAsia="zh-CN" w:bidi="en-US"/>
    </w:rPr>
  </w:style>
  <w:style w:type="paragraph" w:customStyle="1" w:styleId="10">
    <w:name w:val="Абзац списку1"/>
    <w:basedOn w:val="1"/>
    <w:rsid w:val="009B1527"/>
    <w:pPr>
      <w:spacing w:after="160" w:line="252" w:lineRule="auto"/>
      <w:ind w:left="720"/>
      <w:contextualSpacing/>
    </w:pPr>
    <w:rPr>
      <w:lang w:val="ru-RU"/>
    </w:rPr>
  </w:style>
  <w:style w:type="paragraph" w:styleId="aa">
    <w:name w:val="Balloon Text"/>
    <w:basedOn w:val="1"/>
    <w:uiPriority w:val="99"/>
    <w:semiHidden/>
    <w:unhideWhenUsed/>
    <w:rsid w:val="009B1527"/>
    <w:rPr>
      <w:rFonts w:ascii="Segoe UI" w:hAnsi="Segoe UI" w:cs="Segoe UI"/>
      <w:sz w:val="18"/>
      <w:szCs w:val="18"/>
    </w:rPr>
  </w:style>
  <w:style w:type="paragraph" w:customStyle="1" w:styleId="xfmc5">
    <w:name w:val="xfmc5"/>
    <w:basedOn w:val="1"/>
    <w:rsid w:val="0024065A"/>
    <w:pPr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23011</TotalTime>
  <Pages>4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 Olexandr</dc:creator>
  <cp:lastModifiedBy>Perchenko Victoriya</cp:lastModifiedBy>
  <cp:revision>29</cp:revision>
  <cp:lastPrinted>2017-12-01T14:45:00Z</cp:lastPrinted>
  <dcterms:created xsi:type="dcterms:W3CDTF">2017-11-06T09:47:00Z</dcterms:created>
  <dcterms:modified xsi:type="dcterms:W3CDTF">2017-12-01T13:16:00Z</dcterms:modified>
  <dc:language>uk-UA</dc:language>
</cp:coreProperties>
</file>