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B2" w:rsidRPr="00970CB2" w:rsidRDefault="00970CB2" w:rsidP="00970C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70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Додаток 4</w:t>
      </w:r>
    </w:p>
    <w:p w:rsidR="00DD12EB" w:rsidRPr="00B177DC" w:rsidRDefault="00DD12EB" w:rsidP="00970C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D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177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Пояснювальна записка</w:t>
      </w:r>
      <w:r w:rsidRPr="00B177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до звіту про хід виконання</w:t>
      </w:r>
    </w:p>
    <w:p w:rsidR="00DD12EB" w:rsidRPr="00B177DC" w:rsidRDefault="00DD12EB" w:rsidP="0010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77DC">
        <w:rPr>
          <w:rFonts w:ascii="Times New Roman" w:hAnsi="Times New Roman" w:cs="Times New Roman"/>
          <w:sz w:val="26"/>
          <w:szCs w:val="26"/>
        </w:rPr>
        <w:t>Комплексн</w:t>
      </w:r>
      <w:r w:rsidR="00B506BF">
        <w:rPr>
          <w:rFonts w:ascii="Times New Roman" w:hAnsi="Times New Roman" w:cs="Times New Roman"/>
          <w:sz w:val="26"/>
          <w:szCs w:val="26"/>
        </w:rPr>
        <w:t>ої</w:t>
      </w:r>
      <w:r w:rsidRPr="00B177DC">
        <w:rPr>
          <w:rFonts w:ascii="Times New Roman" w:hAnsi="Times New Roman" w:cs="Times New Roman"/>
          <w:sz w:val="26"/>
          <w:szCs w:val="26"/>
        </w:rPr>
        <w:t xml:space="preserve"> міськ</w:t>
      </w:r>
      <w:r w:rsidR="00B506BF">
        <w:rPr>
          <w:rFonts w:ascii="Times New Roman" w:hAnsi="Times New Roman" w:cs="Times New Roman"/>
          <w:sz w:val="26"/>
          <w:szCs w:val="26"/>
        </w:rPr>
        <w:t>ої</w:t>
      </w:r>
      <w:r w:rsidRPr="00B177DC">
        <w:rPr>
          <w:rFonts w:ascii="Times New Roman" w:hAnsi="Times New Roman" w:cs="Times New Roman"/>
          <w:sz w:val="26"/>
          <w:szCs w:val="26"/>
        </w:rPr>
        <w:t xml:space="preserve"> цільов</w:t>
      </w:r>
      <w:r w:rsidR="00B506BF">
        <w:rPr>
          <w:rFonts w:ascii="Times New Roman" w:hAnsi="Times New Roman" w:cs="Times New Roman"/>
          <w:sz w:val="26"/>
          <w:szCs w:val="26"/>
        </w:rPr>
        <w:t>ої</w:t>
      </w:r>
      <w:r w:rsidRPr="00B177DC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B506BF">
        <w:rPr>
          <w:rFonts w:ascii="Times New Roman" w:hAnsi="Times New Roman" w:cs="Times New Roman"/>
          <w:sz w:val="26"/>
          <w:szCs w:val="26"/>
        </w:rPr>
        <w:t>и</w:t>
      </w:r>
      <w:r w:rsidRPr="00B177DC">
        <w:rPr>
          <w:rFonts w:ascii="Times New Roman" w:hAnsi="Times New Roman" w:cs="Times New Roman"/>
          <w:sz w:val="26"/>
          <w:szCs w:val="26"/>
        </w:rPr>
        <w:t xml:space="preserve"> «Електронна столиця» </w:t>
      </w:r>
    </w:p>
    <w:p w:rsidR="00DD12EB" w:rsidRPr="00B177DC" w:rsidRDefault="00DD12EB" w:rsidP="0010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77DC">
        <w:rPr>
          <w:rFonts w:ascii="Times New Roman" w:hAnsi="Times New Roman" w:cs="Times New Roman"/>
          <w:sz w:val="26"/>
          <w:szCs w:val="26"/>
        </w:rPr>
        <w:t>на 2019-2022 роки, затверджен</w:t>
      </w:r>
      <w:r w:rsidR="00B506BF">
        <w:rPr>
          <w:rFonts w:ascii="Times New Roman" w:hAnsi="Times New Roman" w:cs="Times New Roman"/>
          <w:sz w:val="26"/>
          <w:szCs w:val="26"/>
        </w:rPr>
        <w:t>ої</w:t>
      </w:r>
      <w:r w:rsidRPr="00B177DC">
        <w:rPr>
          <w:rFonts w:ascii="Times New Roman" w:hAnsi="Times New Roman" w:cs="Times New Roman"/>
          <w:sz w:val="26"/>
          <w:szCs w:val="26"/>
        </w:rPr>
        <w:t xml:space="preserve"> рішенням Київської міської ради </w:t>
      </w:r>
    </w:p>
    <w:p w:rsidR="00DD12EB" w:rsidRPr="00B177DC" w:rsidRDefault="00DD12EB" w:rsidP="0010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77DC">
        <w:rPr>
          <w:rFonts w:ascii="Times New Roman" w:hAnsi="Times New Roman" w:cs="Times New Roman"/>
          <w:sz w:val="26"/>
          <w:szCs w:val="26"/>
        </w:rPr>
        <w:t>від 18.12.2018 № 461/6512 (із змінами)</w:t>
      </w:r>
      <w:r w:rsidR="00647161" w:rsidRPr="00B177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2EB" w:rsidRPr="00B177DC" w:rsidRDefault="00DD12EB" w:rsidP="00107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2021 рік</w:t>
      </w:r>
    </w:p>
    <w:p w:rsidR="00DD12EB" w:rsidRPr="00B177DC" w:rsidRDefault="00DD12EB" w:rsidP="00DD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Узагальнені результати виконання завдань та заходів </w:t>
      </w:r>
      <w:r w:rsidR="0064716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88"/>
        <w:gridCol w:w="2600"/>
        <w:gridCol w:w="2311"/>
        <w:gridCol w:w="1830"/>
      </w:tblGrid>
      <w:tr w:rsidR="00DD12EB" w:rsidRPr="00DD12EB" w:rsidTr="00A843C4">
        <w:tc>
          <w:tcPr>
            <w:tcW w:w="4050" w:type="pct"/>
            <w:gridSpan w:val="3"/>
            <w:hideMark/>
          </w:tcPr>
          <w:p w:rsidR="00DD12EB" w:rsidRPr="00DD12EB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EB">
              <w:rPr>
                <w:rFonts w:ascii="Times New Roman" w:eastAsia="Times New Roman" w:hAnsi="Times New Roman" w:cs="Times New Roman"/>
                <w:lang w:eastAsia="ru-RU"/>
              </w:rPr>
              <w:t>Кількість заходів програми, од.</w:t>
            </w:r>
          </w:p>
        </w:tc>
        <w:tc>
          <w:tcPr>
            <w:tcW w:w="950" w:type="pct"/>
            <w:vMerge w:val="restart"/>
            <w:hideMark/>
          </w:tcPr>
          <w:p w:rsidR="00DD12EB" w:rsidRPr="00DD12EB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EB">
              <w:rPr>
                <w:rFonts w:ascii="Times New Roman" w:eastAsia="Times New Roman" w:hAnsi="Times New Roman" w:cs="Times New Roman"/>
                <w:lang w:eastAsia="ru-RU"/>
              </w:rPr>
              <w:t>Відсоток виконаних заходів, %</w:t>
            </w:r>
          </w:p>
        </w:tc>
      </w:tr>
      <w:tr w:rsidR="00DD12EB" w:rsidRPr="00DD12EB" w:rsidTr="00A843C4">
        <w:tc>
          <w:tcPr>
            <w:tcW w:w="1500" w:type="pct"/>
            <w:hideMark/>
          </w:tcPr>
          <w:p w:rsidR="00DD12EB" w:rsidRPr="00DD12EB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EB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350" w:type="pct"/>
            <w:hideMark/>
          </w:tcPr>
          <w:p w:rsidR="00DD12EB" w:rsidRPr="00DD12EB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EB">
              <w:rPr>
                <w:rFonts w:ascii="Times New Roman" w:eastAsia="Times New Roman" w:hAnsi="Times New Roman" w:cs="Times New Roman"/>
                <w:lang w:eastAsia="ru-RU"/>
              </w:rPr>
              <w:t>Виконаних</w:t>
            </w:r>
          </w:p>
        </w:tc>
        <w:tc>
          <w:tcPr>
            <w:tcW w:w="1200" w:type="pct"/>
            <w:hideMark/>
          </w:tcPr>
          <w:p w:rsidR="00DD12EB" w:rsidRPr="00DD12EB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EB">
              <w:rPr>
                <w:rFonts w:ascii="Times New Roman" w:eastAsia="Times New Roman" w:hAnsi="Times New Roman" w:cs="Times New Roman"/>
                <w:lang w:eastAsia="ru-RU"/>
              </w:rPr>
              <w:t>Невиконаних</w:t>
            </w:r>
          </w:p>
        </w:tc>
        <w:tc>
          <w:tcPr>
            <w:tcW w:w="0" w:type="auto"/>
            <w:vMerge/>
            <w:hideMark/>
          </w:tcPr>
          <w:p w:rsidR="00DD12EB" w:rsidRPr="00DD12EB" w:rsidRDefault="00DD12EB" w:rsidP="00DD12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2EB" w:rsidRPr="00DD12EB" w:rsidTr="00A843C4">
        <w:tc>
          <w:tcPr>
            <w:tcW w:w="1500" w:type="pct"/>
            <w:hideMark/>
          </w:tcPr>
          <w:p w:rsidR="00DD12EB" w:rsidRPr="00DD12EB" w:rsidRDefault="0032023A" w:rsidP="00684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50" w:type="pct"/>
            <w:hideMark/>
          </w:tcPr>
          <w:p w:rsidR="00DD12EB" w:rsidRPr="00DD12EB" w:rsidRDefault="00883179" w:rsidP="0063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32D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0" w:type="pct"/>
            <w:hideMark/>
          </w:tcPr>
          <w:p w:rsidR="00DD12EB" w:rsidRPr="00DD12EB" w:rsidRDefault="00883179" w:rsidP="00684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21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0" w:type="pct"/>
            <w:hideMark/>
          </w:tcPr>
          <w:p w:rsidR="00DD12EB" w:rsidRPr="00DD12EB" w:rsidRDefault="009021E6" w:rsidP="00684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</w:tbl>
    <w:p w:rsidR="009457C8" w:rsidRPr="009457C8" w:rsidRDefault="009457C8" w:rsidP="00945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12EB" w:rsidRPr="00B177DC" w:rsidRDefault="00DD12EB" w:rsidP="009457C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Перелік найбільш вагомих виконаних заходів</w:t>
      </w:r>
      <w:r w:rsidR="005268A4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457C8" w:rsidRPr="00B177DC" w:rsidRDefault="009457C8" w:rsidP="00945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0CF1" w:rsidRPr="00515C9C" w:rsidRDefault="00BF2D60" w:rsidP="00B7216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</w:t>
      </w:r>
      <w:r w:rsid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B7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Створення та супроводження програмно-апаратного комплексу Єдиного диспетчерського центру моніторингу роботи транспорту та збору </w:t>
      </w:r>
      <w:r w:rsidRPr="00515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інформації</w:t>
      </w:r>
      <w:r w:rsidR="00B7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515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7632" w:rsidRPr="00515C9C" w:rsidRDefault="00257632" w:rsidP="00B721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C9C">
        <w:rPr>
          <w:rFonts w:ascii="Times New Roman" w:hAnsi="Times New Roman"/>
          <w:sz w:val="26"/>
          <w:szCs w:val="26"/>
        </w:rPr>
        <w:t>Протягом 2021 року надано послуги із</w:t>
      </w:r>
      <w:r w:rsidR="008A43E6" w:rsidRPr="00515C9C">
        <w:rPr>
          <w:rFonts w:ascii="Times New Roman" w:hAnsi="Times New Roman"/>
          <w:sz w:val="26"/>
          <w:szCs w:val="26"/>
        </w:rPr>
        <w:t xml:space="preserve"> </w:t>
      </w:r>
      <w:r w:rsidRPr="00515C9C">
        <w:rPr>
          <w:rFonts w:ascii="Times New Roman" w:hAnsi="Times New Roman"/>
          <w:sz w:val="26"/>
          <w:szCs w:val="26"/>
        </w:rPr>
        <w:t xml:space="preserve">забезпечення доступу бортових комп’ютерів до мережі Інтернет комунальних транспортних засобів. </w:t>
      </w:r>
      <w:r w:rsidR="00515C9C" w:rsidRPr="00515C9C">
        <w:rPr>
          <w:rFonts w:ascii="Times New Roman" w:hAnsi="Times New Roman"/>
          <w:sz w:val="26"/>
          <w:szCs w:val="26"/>
        </w:rPr>
        <w:t xml:space="preserve">Забезпечено </w:t>
      </w:r>
      <w:r w:rsidRPr="00515C9C">
        <w:rPr>
          <w:rFonts w:ascii="Times New Roman" w:hAnsi="Times New Roman"/>
          <w:sz w:val="26"/>
          <w:szCs w:val="26"/>
        </w:rPr>
        <w:t>супроводження та технічн</w:t>
      </w:r>
      <w:r w:rsidR="00515C9C" w:rsidRPr="00515C9C">
        <w:rPr>
          <w:rFonts w:ascii="Times New Roman" w:hAnsi="Times New Roman"/>
          <w:sz w:val="26"/>
          <w:szCs w:val="26"/>
        </w:rPr>
        <w:t>е</w:t>
      </w:r>
      <w:r w:rsidRPr="00515C9C">
        <w:rPr>
          <w:rFonts w:ascii="Times New Roman" w:hAnsi="Times New Roman"/>
          <w:sz w:val="26"/>
          <w:szCs w:val="26"/>
        </w:rPr>
        <w:t xml:space="preserve"> обслуговування апаратних компонентів програмно-апаратного комплексу «Єдиний диспетчерський центр моніторингу роботи транспорту та збору інформації». Проведено монтаж та налаштування існуючого апаратного обладнання програмно-апаратного комплексу «Єдиний диспетчерський центр моніторингу роботи транспорту та збору інформації»: 235 бортових комп’ютерів для транспортних засобів, 144 терміналів водія.</w:t>
      </w:r>
      <w:r w:rsidR="00515C9C" w:rsidRPr="00515C9C">
        <w:rPr>
          <w:rFonts w:ascii="Times New Roman" w:hAnsi="Times New Roman"/>
          <w:sz w:val="26"/>
          <w:szCs w:val="26"/>
        </w:rPr>
        <w:t xml:space="preserve"> </w:t>
      </w:r>
      <w:r w:rsidRPr="00515C9C">
        <w:rPr>
          <w:rFonts w:ascii="Times New Roman" w:hAnsi="Times New Roman"/>
          <w:sz w:val="26"/>
          <w:szCs w:val="26"/>
        </w:rPr>
        <w:t xml:space="preserve">Придбано 120 комплектів бортового </w:t>
      </w:r>
      <w:proofErr w:type="spellStart"/>
      <w:r w:rsidRPr="00515C9C">
        <w:rPr>
          <w:rFonts w:ascii="Times New Roman" w:hAnsi="Times New Roman"/>
          <w:sz w:val="26"/>
          <w:szCs w:val="26"/>
        </w:rPr>
        <w:t>відеообладнання</w:t>
      </w:r>
      <w:proofErr w:type="spellEnd"/>
      <w:r w:rsidRPr="00515C9C">
        <w:rPr>
          <w:rFonts w:ascii="Times New Roman" w:hAnsi="Times New Roman"/>
          <w:sz w:val="26"/>
          <w:szCs w:val="26"/>
        </w:rPr>
        <w:t xml:space="preserve"> на муніципальний транспорт</w:t>
      </w:r>
      <w:r w:rsidR="00515C9C" w:rsidRPr="00515C9C">
        <w:rPr>
          <w:rFonts w:ascii="Times New Roman" w:hAnsi="Times New Roman"/>
          <w:sz w:val="26"/>
          <w:szCs w:val="26"/>
        </w:rPr>
        <w:t>. Придбан</w:t>
      </w:r>
      <w:r w:rsidRPr="00515C9C">
        <w:rPr>
          <w:rFonts w:ascii="Times New Roman" w:hAnsi="Times New Roman"/>
          <w:sz w:val="26"/>
          <w:szCs w:val="26"/>
        </w:rPr>
        <w:t xml:space="preserve">о та встановлено програмний модуль </w:t>
      </w:r>
      <w:proofErr w:type="spellStart"/>
      <w:r w:rsidRPr="00515C9C">
        <w:rPr>
          <w:rFonts w:ascii="Times New Roman" w:hAnsi="Times New Roman"/>
          <w:sz w:val="26"/>
          <w:szCs w:val="26"/>
        </w:rPr>
        <w:t>метеомоніторингу</w:t>
      </w:r>
      <w:proofErr w:type="spellEnd"/>
      <w:r w:rsidRPr="00515C9C">
        <w:rPr>
          <w:rFonts w:ascii="Times New Roman" w:hAnsi="Times New Roman"/>
          <w:sz w:val="26"/>
          <w:szCs w:val="26"/>
        </w:rPr>
        <w:t xml:space="preserve"> єдиного диспетчерського центру для збору параметрів для отримання даних з сенсорів дорожніх метеостанцій. </w:t>
      </w:r>
    </w:p>
    <w:p w:rsidR="00BF2D60" w:rsidRDefault="00BF2D60" w:rsidP="00B7216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</w:t>
      </w:r>
      <w:r w:rsid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B7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Створення, розвиток та супроводження програмно-апаратного  комплексу управління та контролю мереж зовнішнього освітлення міста Києва</w:t>
      </w:r>
      <w:r w:rsidR="00B7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515C9C" w:rsidRPr="00515C9C" w:rsidRDefault="00B72162" w:rsidP="00B721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1C63CF">
        <w:rPr>
          <w:rFonts w:ascii="Times New Roman" w:hAnsi="Times New Roman"/>
          <w:sz w:val="28"/>
          <w:szCs w:val="28"/>
        </w:rPr>
        <w:t>роведено дооснащення програмно-апаратного комплексу управління та контролю мереж зовнішнього освітлення міста Києва: придбано та встановлено 361 щит керування зовнішнім освітленням та 1663 демодулятори керування зовнішніми світильниками.</w:t>
      </w:r>
    </w:p>
    <w:p w:rsidR="00BF2D60" w:rsidRDefault="005C70BD" w:rsidP="00B7216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</w:t>
      </w:r>
      <w:r w:rsid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AA0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F2D60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Закупівля та встановлення програмно-технічних комплексів самообслуговування, придбання програмного забезпечення для впровадження автоматизованої системи обліку оплати проїзду в міському пасажирському транспорті міста Києва незалежно від форм власності, забезпечення розповсюдження та поповнення єдиного еле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F2D60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тронного квитка</w:t>
      </w:r>
      <w:r w:rsidR="00AA0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77A5A" w:rsidRPr="00977A5A" w:rsidRDefault="00977A5A" w:rsidP="00A96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="00B96C20">
        <w:rPr>
          <w:rFonts w:ascii="Times New Roman" w:hAnsi="Times New Roman"/>
          <w:sz w:val="26"/>
          <w:szCs w:val="26"/>
        </w:rPr>
        <w:t xml:space="preserve">удосконалення та розширення функціоналу АСОП придбано </w:t>
      </w:r>
      <w:r w:rsidRPr="00977A5A">
        <w:rPr>
          <w:rFonts w:ascii="Times New Roman" w:hAnsi="Times New Roman"/>
          <w:sz w:val="26"/>
          <w:szCs w:val="26"/>
        </w:rPr>
        <w:t>програмне забезпечення</w:t>
      </w:r>
      <w:r w:rsidR="00B96C20">
        <w:rPr>
          <w:rFonts w:ascii="Times New Roman" w:hAnsi="Times New Roman"/>
          <w:sz w:val="26"/>
          <w:szCs w:val="26"/>
        </w:rPr>
        <w:t xml:space="preserve"> для:</w:t>
      </w:r>
      <w:r w:rsidRPr="00977A5A">
        <w:rPr>
          <w:rFonts w:ascii="Times New Roman" w:hAnsi="Times New Roman"/>
          <w:sz w:val="26"/>
          <w:szCs w:val="26"/>
        </w:rPr>
        <w:t xml:space="preserve"> приймання оплати проїзду із застосуванням банківських карток в рухомому складі міського пасажирського транспорту (наземний транспорт) та автоматизованих контрольних пунктах (турнікетах) через технічні засоби АСОП</w:t>
      </w:r>
      <w:r w:rsidR="00B96C20">
        <w:rPr>
          <w:rFonts w:ascii="Times New Roman" w:hAnsi="Times New Roman"/>
          <w:sz w:val="26"/>
          <w:szCs w:val="26"/>
        </w:rPr>
        <w:t xml:space="preserve">; </w:t>
      </w:r>
      <w:r w:rsidRPr="00977A5A">
        <w:rPr>
          <w:rFonts w:ascii="Times New Roman" w:hAnsi="Times New Roman"/>
          <w:sz w:val="26"/>
          <w:szCs w:val="26"/>
        </w:rPr>
        <w:t xml:space="preserve">розширення можливості оплати проїзду в пасажирському транспорті приватних </w:t>
      </w:r>
      <w:r w:rsidRPr="00977A5A">
        <w:rPr>
          <w:rFonts w:ascii="Times New Roman" w:hAnsi="Times New Roman"/>
          <w:sz w:val="26"/>
          <w:szCs w:val="26"/>
        </w:rPr>
        <w:lastRenderedPageBreak/>
        <w:t>перевізників за допомогою банківської картки;</w:t>
      </w:r>
      <w:r w:rsidR="00C30242">
        <w:rPr>
          <w:rFonts w:ascii="Times New Roman" w:hAnsi="Times New Roman"/>
          <w:sz w:val="26"/>
          <w:szCs w:val="26"/>
        </w:rPr>
        <w:t xml:space="preserve"> </w:t>
      </w:r>
      <w:r w:rsidRPr="00977A5A">
        <w:rPr>
          <w:rFonts w:ascii="Times New Roman" w:hAnsi="Times New Roman"/>
          <w:sz w:val="26"/>
          <w:szCs w:val="26"/>
        </w:rPr>
        <w:t>розширення можливості оплати проїзду в пасажирському транспорті за допомогою мобільного застосунку;</w:t>
      </w:r>
      <w:r w:rsidR="00C30242">
        <w:rPr>
          <w:rFonts w:ascii="Times New Roman" w:hAnsi="Times New Roman"/>
          <w:sz w:val="26"/>
          <w:szCs w:val="26"/>
        </w:rPr>
        <w:t xml:space="preserve"> </w:t>
      </w:r>
      <w:r w:rsidRPr="00977A5A">
        <w:rPr>
          <w:rFonts w:ascii="Times New Roman" w:hAnsi="Times New Roman"/>
          <w:sz w:val="26"/>
          <w:szCs w:val="26"/>
        </w:rPr>
        <w:t>розширення можливості оплати проїзду в пасажирському транспорті за допомогою SMS-повідомлень; обробки замовлень для виготовлення електронних учнівських квитків з функцією транспортної картки учням закладів загальної середньої освіти м.</w:t>
      </w:r>
      <w:r w:rsidR="00C30242">
        <w:rPr>
          <w:rFonts w:ascii="Times New Roman" w:hAnsi="Times New Roman"/>
          <w:sz w:val="26"/>
          <w:szCs w:val="26"/>
        </w:rPr>
        <w:t> </w:t>
      </w:r>
      <w:r w:rsidRPr="00977A5A">
        <w:rPr>
          <w:rFonts w:ascii="Times New Roman" w:hAnsi="Times New Roman"/>
          <w:sz w:val="26"/>
          <w:szCs w:val="26"/>
        </w:rPr>
        <w:t>Києва;</w:t>
      </w:r>
      <w:r w:rsidR="00C30242">
        <w:rPr>
          <w:rFonts w:ascii="Times New Roman" w:hAnsi="Times New Roman"/>
          <w:sz w:val="26"/>
          <w:szCs w:val="26"/>
        </w:rPr>
        <w:t xml:space="preserve"> </w:t>
      </w:r>
      <w:r w:rsidRPr="00977A5A">
        <w:rPr>
          <w:rFonts w:ascii="Times New Roman" w:hAnsi="Times New Roman"/>
          <w:sz w:val="26"/>
          <w:szCs w:val="26"/>
        </w:rPr>
        <w:t>підключення приватних перевізників до АСОП з його подальшим встановленням та</w:t>
      </w:r>
      <w:r w:rsidR="00A963FC">
        <w:rPr>
          <w:rFonts w:ascii="Times New Roman" w:hAnsi="Times New Roman"/>
          <w:sz w:val="26"/>
          <w:szCs w:val="26"/>
        </w:rPr>
        <w:t xml:space="preserve"> налаштуванням</w:t>
      </w:r>
      <w:r w:rsidRPr="00977A5A">
        <w:rPr>
          <w:rFonts w:ascii="Times New Roman" w:hAnsi="Times New Roman"/>
          <w:sz w:val="26"/>
          <w:szCs w:val="26"/>
        </w:rPr>
        <w:t>;</w:t>
      </w:r>
      <w:r w:rsidR="00A963FC">
        <w:rPr>
          <w:rFonts w:ascii="Times New Roman" w:hAnsi="Times New Roman"/>
          <w:sz w:val="26"/>
          <w:szCs w:val="26"/>
        </w:rPr>
        <w:t xml:space="preserve"> </w:t>
      </w:r>
      <w:r w:rsidRPr="00977A5A">
        <w:rPr>
          <w:rFonts w:ascii="Times New Roman" w:hAnsi="Times New Roman"/>
          <w:sz w:val="26"/>
          <w:szCs w:val="26"/>
        </w:rPr>
        <w:t xml:space="preserve">«Програмні модулі АСОП» для розширення функціональності системи АСОП </w:t>
      </w:r>
      <w:r w:rsidR="00A963FC">
        <w:rPr>
          <w:rFonts w:ascii="Times New Roman" w:hAnsi="Times New Roman"/>
          <w:sz w:val="26"/>
          <w:szCs w:val="26"/>
        </w:rPr>
        <w:t xml:space="preserve">. Змонтовано </w:t>
      </w:r>
      <w:r w:rsidRPr="00977A5A">
        <w:rPr>
          <w:rFonts w:ascii="Times New Roman" w:hAnsi="Times New Roman"/>
          <w:sz w:val="26"/>
          <w:szCs w:val="26"/>
        </w:rPr>
        <w:t xml:space="preserve">16 програмно-технічних комплексів самообслуговування (автоматів) з продажу та поповнення </w:t>
      </w:r>
      <w:proofErr w:type="spellStart"/>
      <w:r w:rsidRPr="00977A5A">
        <w:rPr>
          <w:rFonts w:ascii="Times New Roman" w:hAnsi="Times New Roman"/>
          <w:sz w:val="26"/>
          <w:szCs w:val="26"/>
        </w:rPr>
        <w:t>pecypcy</w:t>
      </w:r>
      <w:proofErr w:type="spellEnd"/>
      <w:r w:rsidRPr="00977A5A">
        <w:rPr>
          <w:rFonts w:ascii="Times New Roman" w:hAnsi="Times New Roman"/>
          <w:sz w:val="26"/>
          <w:szCs w:val="26"/>
        </w:rPr>
        <w:t xml:space="preserve"> засобів оплати проїзду в місті Києві.</w:t>
      </w:r>
    </w:p>
    <w:p w:rsidR="005C70BD" w:rsidRDefault="005C70BD" w:rsidP="00B7216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</w:t>
      </w:r>
      <w:r w:rsidR="00B50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B7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 комплексної системи відеоспостереження та систем забезпечення безпеки</w:t>
      </w:r>
      <w:r w:rsidR="00B7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A00AC" w:rsidRPr="00AA00AC" w:rsidRDefault="00AA00AC" w:rsidP="00AA00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A00AC">
        <w:rPr>
          <w:rFonts w:ascii="Times New Roman" w:hAnsi="Times New Roman"/>
          <w:sz w:val="26"/>
          <w:szCs w:val="26"/>
        </w:rPr>
        <w:t>Протягом 2021 року придбано та встановлено 1048 камер відеоспостереження, з них: 694 камери відеоспостереження;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0AC">
        <w:rPr>
          <w:rFonts w:ascii="Times New Roman" w:hAnsi="Times New Roman"/>
          <w:sz w:val="26"/>
          <w:szCs w:val="26"/>
        </w:rPr>
        <w:t>343 камер із супутнім обладнанням для встановлення на вулицях міста Києва у 2022 році; 10 комплексів автоматичної фото- та відеофіксації правопорушень у сфері забезпечення безпеки дорожнього руху «КАСКАД 3»;</w:t>
      </w:r>
      <w:r w:rsidR="008C5CD4">
        <w:rPr>
          <w:rFonts w:ascii="Times New Roman" w:hAnsi="Times New Roman"/>
          <w:sz w:val="26"/>
          <w:szCs w:val="26"/>
        </w:rPr>
        <w:t xml:space="preserve"> </w:t>
      </w:r>
      <w:r w:rsidRPr="00AA00AC">
        <w:rPr>
          <w:rFonts w:ascii="Times New Roman" w:hAnsi="Times New Roman"/>
          <w:sz w:val="26"/>
          <w:szCs w:val="26"/>
        </w:rPr>
        <w:t xml:space="preserve">один комплект засобів відеофіксації для встановлення на окремих маршрутах міста Києва в 2022 році. </w:t>
      </w:r>
    </w:p>
    <w:p w:rsidR="00AA00AC" w:rsidRPr="00AA00AC" w:rsidRDefault="008C5CD4" w:rsidP="00AA00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A00AC" w:rsidRPr="00AA00AC">
        <w:rPr>
          <w:rFonts w:ascii="Times New Roman" w:hAnsi="Times New Roman"/>
          <w:sz w:val="26"/>
          <w:szCs w:val="26"/>
        </w:rPr>
        <w:t>становлено 380 камер відеоспостереження, закуплених у 2019-2020 роках, а саме:</w:t>
      </w:r>
      <w:r>
        <w:rPr>
          <w:rFonts w:ascii="Times New Roman" w:hAnsi="Times New Roman"/>
          <w:sz w:val="26"/>
          <w:szCs w:val="26"/>
        </w:rPr>
        <w:t xml:space="preserve"> </w:t>
      </w:r>
      <w:r w:rsidR="00AA00AC" w:rsidRPr="00AA00AC">
        <w:rPr>
          <w:rFonts w:ascii="Times New Roman" w:hAnsi="Times New Roman"/>
          <w:sz w:val="26"/>
          <w:szCs w:val="26"/>
        </w:rPr>
        <w:t>305 камер у Київському метрополітені;</w:t>
      </w:r>
      <w:r>
        <w:rPr>
          <w:rFonts w:ascii="Times New Roman" w:hAnsi="Times New Roman"/>
          <w:sz w:val="26"/>
          <w:szCs w:val="26"/>
        </w:rPr>
        <w:t xml:space="preserve"> </w:t>
      </w:r>
      <w:r w:rsidR="00AA00AC" w:rsidRPr="00AA00AC">
        <w:rPr>
          <w:rFonts w:ascii="Times New Roman" w:hAnsi="Times New Roman"/>
          <w:sz w:val="26"/>
          <w:szCs w:val="26"/>
        </w:rPr>
        <w:t>44 камери на дорогах міста Києва з інтелектуальною аналітикою дорожнього руху;</w:t>
      </w:r>
      <w:r>
        <w:rPr>
          <w:rFonts w:ascii="Times New Roman" w:hAnsi="Times New Roman"/>
          <w:sz w:val="26"/>
          <w:szCs w:val="26"/>
        </w:rPr>
        <w:t xml:space="preserve"> </w:t>
      </w:r>
      <w:r w:rsidR="00AA00AC" w:rsidRPr="00AA00AC">
        <w:rPr>
          <w:rFonts w:ascii="Times New Roman" w:hAnsi="Times New Roman"/>
          <w:sz w:val="26"/>
          <w:szCs w:val="26"/>
        </w:rPr>
        <w:t xml:space="preserve"> 31 камера на вулицях міста Києва.</w:t>
      </w:r>
    </w:p>
    <w:p w:rsidR="00AA00AC" w:rsidRPr="00AA00AC" w:rsidRDefault="008C5CD4" w:rsidP="00AA00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A00AC" w:rsidRPr="00AA00AC">
        <w:rPr>
          <w:rFonts w:ascii="Times New Roman" w:hAnsi="Times New Roman"/>
          <w:sz w:val="26"/>
          <w:szCs w:val="26"/>
        </w:rPr>
        <w:t>ридбан</w:t>
      </w:r>
      <w:r>
        <w:rPr>
          <w:rFonts w:ascii="Times New Roman" w:hAnsi="Times New Roman"/>
          <w:sz w:val="26"/>
          <w:szCs w:val="26"/>
        </w:rPr>
        <w:t>о</w:t>
      </w:r>
      <w:r w:rsidR="00AA00AC" w:rsidRPr="00AA00AC">
        <w:rPr>
          <w:rFonts w:ascii="Times New Roman" w:hAnsi="Times New Roman"/>
          <w:sz w:val="26"/>
          <w:szCs w:val="26"/>
        </w:rPr>
        <w:t xml:space="preserve"> 17 комплектів обладнання для встановлення камер відеоспостереження в Київському метрополітені.</w:t>
      </w:r>
      <w:r>
        <w:rPr>
          <w:rFonts w:ascii="Times New Roman" w:hAnsi="Times New Roman"/>
          <w:sz w:val="26"/>
          <w:szCs w:val="26"/>
        </w:rPr>
        <w:t xml:space="preserve"> </w:t>
      </w:r>
      <w:r w:rsidR="00AA00AC" w:rsidRPr="00AA00AC">
        <w:rPr>
          <w:rFonts w:ascii="Times New Roman" w:hAnsi="Times New Roman"/>
          <w:sz w:val="26"/>
          <w:szCs w:val="26"/>
        </w:rPr>
        <w:t>Придбано один комплект обладнання для встановлення камер відеоспостереження на автошляхах міста Києва</w:t>
      </w:r>
      <w:r>
        <w:rPr>
          <w:rFonts w:ascii="Times New Roman" w:hAnsi="Times New Roman"/>
          <w:sz w:val="26"/>
          <w:szCs w:val="26"/>
        </w:rPr>
        <w:t xml:space="preserve">, </w:t>
      </w:r>
      <w:r w:rsidR="00AA00AC" w:rsidRPr="00AA00AC">
        <w:rPr>
          <w:rFonts w:ascii="Times New Roman" w:hAnsi="Times New Roman"/>
          <w:sz w:val="26"/>
          <w:szCs w:val="26"/>
        </w:rPr>
        <w:t xml:space="preserve">362 одиниці обладнання для забезпечення сталої роботи комплексної системи відеоспостереження міста Києва, яке буде використовуватися як підмінний фонд. </w:t>
      </w:r>
    </w:p>
    <w:p w:rsidR="00B87635" w:rsidRDefault="00B87635" w:rsidP="00B7216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12.2</w:t>
      </w:r>
      <w:r w:rsidR="00B50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8C5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Побудова опорної безпроводової мережі для створення системи раннього оповіщення від техногенних загроз, екологічного моніторингу</w:t>
      </w:r>
      <w:r w:rsidR="008C5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909AA" w:rsidRPr="004909AA" w:rsidRDefault="004909AA" w:rsidP="004909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Закуплено </w:t>
      </w:r>
      <w:r w:rsidRPr="004909AA">
        <w:rPr>
          <w:rFonts w:ascii="Times New Roman" w:hAnsi="Times New Roman"/>
          <w:sz w:val="26"/>
          <w:szCs w:val="26"/>
        </w:rPr>
        <w:t xml:space="preserve">та </w:t>
      </w:r>
      <w:r>
        <w:rPr>
          <w:rFonts w:ascii="Times New Roman" w:hAnsi="Times New Roman"/>
          <w:sz w:val="26"/>
          <w:szCs w:val="26"/>
        </w:rPr>
        <w:t>змонтовано</w:t>
      </w:r>
      <w:r w:rsidRPr="004909AA">
        <w:rPr>
          <w:rFonts w:ascii="Times New Roman" w:hAnsi="Times New Roman"/>
          <w:sz w:val="26"/>
          <w:szCs w:val="26"/>
        </w:rPr>
        <w:t xml:space="preserve"> 118 комплектів обладнання для створення опорної бездротової мережі </w:t>
      </w:r>
      <w:proofErr w:type="spellStart"/>
      <w:r w:rsidRPr="004909AA">
        <w:rPr>
          <w:rFonts w:ascii="Times New Roman" w:hAnsi="Times New Roman"/>
          <w:sz w:val="26"/>
          <w:szCs w:val="26"/>
        </w:rPr>
        <w:t>LoRaWan</w:t>
      </w:r>
      <w:proofErr w:type="spellEnd"/>
      <w:r w:rsidRPr="004909AA">
        <w:rPr>
          <w:rFonts w:ascii="Times New Roman" w:hAnsi="Times New Roman"/>
          <w:sz w:val="26"/>
          <w:szCs w:val="26"/>
        </w:rPr>
        <w:t xml:space="preserve"> (системи раннього оповіщення від техногенних загроз, екологічного моніторингу). Побудова мережі відбувається відповідно до ескізного проєкту, в якому визначено перелік будівель комунальної власності, на дахах яких встановлено базові станції.</w:t>
      </w:r>
    </w:p>
    <w:p w:rsidR="00B87635" w:rsidRDefault="00B87635" w:rsidP="00B7216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16.9</w:t>
      </w:r>
      <w:r w:rsidR="00B50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8C5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Створення, розвиток та супроводження сервісної мережевої інфраструктури</w:t>
      </w:r>
      <w:r w:rsidR="008C5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066C2" w:rsidRPr="007066C2" w:rsidRDefault="007066C2" w:rsidP="007066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66C2">
        <w:rPr>
          <w:rFonts w:ascii="Times New Roman" w:hAnsi="Times New Roman"/>
          <w:sz w:val="26"/>
          <w:szCs w:val="26"/>
        </w:rPr>
        <w:t xml:space="preserve">Закуплено 364 комплектів мережевого обладнання для підключення 416 об’єктів (освітні заклади, медичні заклади, </w:t>
      </w:r>
      <w:proofErr w:type="spellStart"/>
      <w:r w:rsidRPr="007066C2">
        <w:rPr>
          <w:rFonts w:ascii="Times New Roman" w:hAnsi="Times New Roman"/>
          <w:sz w:val="26"/>
          <w:szCs w:val="26"/>
        </w:rPr>
        <w:t>агрегуючі</w:t>
      </w:r>
      <w:proofErr w:type="spellEnd"/>
      <w:r w:rsidRPr="007066C2">
        <w:rPr>
          <w:rFonts w:ascii="Times New Roman" w:hAnsi="Times New Roman"/>
          <w:sz w:val="26"/>
          <w:szCs w:val="26"/>
        </w:rPr>
        <w:t xml:space="preserve"> майданчики системи міського відеоспостереження) до міської мережевої інфраструктури, а також п’ять комплектів обладнання для передачі даних та одного комплекту програмної продукції.</w:t>
      </w:r>
    </w:p>
    <w:p w:rsidR="003C7B4C" w:rsidRDefault="003C7B4C" w:rsidP="00B7216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16.22</w:t>
      </w:r>
      <w:r w:rsidR="00B50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8C5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Створення та впровадження операційного центру </w:t>
      </w:r>
      <w:proofErr w:type="spellStart"/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кібербезпеки</w:t>
      </w:r>
      <w:proofErr w:type="spellEnd"/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його технічне обслуговування, сервісна підтримка, розширення та дооснащення</w:t>
      </w:r>
      <w:r w:rsidR="008C5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23814" w:rsidRPr="00723814" w:rsidRDefault="00723814" w:rsidP="007238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Закуплено </w:t>
      </w:r>
      <w:r w:rsidRPr="00723814">
        <w:rPr>
          <w:rFonts w:ascii="Times New Roman" w:hAnsi="Times New Roman"/>
          <w:sz w:val="26"/>
          <w:szCs w:val="26"/>
        </w:rPr>
        <w:t xml:space="preserve">16 одиниць ліцензійного програмного забезпечення для систем захисту міської мережевої інфраструктури; 10 комплектів ліцензійного програмного забезпечення з наданням супутніх послуг з інтеграції, розгортання та впровадження для функціонування операційного центру </w:t>
      </w:r>
      <w:proofErr w:type="spellStart"/>
      <w:r w:rsidRPr="00723814">
        <w:rPr>
          <w:rFonts w:ascii="Times New Roman" w:hAnsi="Times New Roman"/>
          <w:sz w:val="26"/>
          <w:szCs w:val="26"/>
        </w:rPr>
        <w:t>кібербезпеки</w:t>
      </w:r>
      <w:proofErr w:type="spellEnd"/>
      <w:r w:rsidRPr="00723814">
        <w:rPr>
          <w:rFonts w:ascii="Times New Roman" w:hAnsi="Times New Roman"/>
          <w:sz w:val="26"/>
          <w:szCs w:val="26"/>
        </w:rPr>
        <w:t>.</w:t>
      </w:r>
    </w:p>
    <w:p w:rsidR="003C7B4C" w:rsidRDefault="003C7B4C" w:rsidP="00B7216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19.2</w:t>
      </w:r>
      <w:r w:rsidR="00B50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8C5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 ситуаційного центру протидії загрозам у місті Києві на вул. Дегтярівській, 37 у Шевченківському районі</w:t>
      </w:r>
      <w:r w:rsidR="008C5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C5CD4" w:rsidRPr="007A10CF" w:rsidRDefault="00207242" w:rsidP="007A1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0CF">
        <w:rPr>
          <w:rFonts w:ascii="Times New Roman" w:hAnsi="Times New Roman"/>
          <w:sz w:val="26"/>
          <w:szCs w:val="26"/>
        </w:rPr>
        <w:lastRenderedPageBreak/>
        <w:t xml:space="preserve">Виконано договори щодо розробки </w:t>
      </w:r>
      <w:proofErr w:type="spellStart"/>
      <w:r w:rsidRPr="007A10CF">
        <w:rPr>
          <w:rFonts w:ascii="Times New Roman" w:hAnsi="Times New Roman"/>
          <w:sz w:val="26"/>
          <w:szCs w:val="26"/>
        </w:rPr>
        <w:t>проєктного</w:t>
      </w:r>
      <w:proofErr w:type="spellEnd"/>
      <w:r w:rsidRPr="007A10CF">
        <w:rPr>
          <w:rFonts w:ascii="Times New Roman" w:hAnsi="Times New Roman"/>
          <w:sz w:val="26"/>
          <w:szCs w:val="26"/>
        </w:rPr>
        <w:t xml:space="preserve"> рішення для впровадження програмно-апаратного комплексу міської інтеграційної платформи. Придбано програмно-апаратний комплекс міської інтеграційної платформи та програмно-апаратн</w:t>
      </w:r>
      <w:r w:rsidR="007A10CF" w:rsidRPr="007A10CF">
        <w:rPr>
          <w:rFonts w:ascii="Times New Roman" w:hAnsi="Times New Roman"/>
          <w:sz w:val="26"/>
          <w:szCs w:val="26"/>
        </w:rPr>
        <w:t>ий</w:t>
      </w:r>
      <w:r w:rsidRPr="007A10CF">
        <w:rPr>
          <w:rFonts w:ascii="Times New Roman" w:hAnsi="Times New Roman"/>
          <w:sz w:val="26"/>
          <w:szCs w:val="26"/>
        </w:rPr>
        <w:t xml:space="preserve"> комплекс для створення системи </w:t>
      </w:r>
      <w:proofErr w:type="spellStart"/>
      <w:r w:rsidRPr="007A10CF">
        <w:rPr>
          <w:rFonts w:ascii="Times New Roman" w:hAnsi="Times New Roman"/>
          <w:sz w:val="26"/>
          <w:szCs w:val="26"/>
        </w:rPr>
        <w:t>оперативно</w:t>
      </w:r>
      <w:proofErr w:type="spellEnd"/>
      <w:r w:rsidRPr="007A10CF">
        <w:rPr>
          <w:rFonts w:ascii="Times New Roman" w:hAnsi="Times New Roman"/>
          <w:sz w:val="26"/>
          <w:szCs w:val="26"/>
        </w:rPr>
        <w:t xml:space="preserve">-диспетчерського управління дорожнім рухом. </w:t>
      </w:r>
    </w:p>
    <w:p w:rsidR="00BF2D60" w:rsidRPr="002361AE" w:rsidRDefault="00BF2D60" w:rsidP="006C4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12EB" w:rsidRPr="002361AE" w:rsidRDefault="00DD12EB" w:rsidP="006C4E3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Перелік найбільш вагомих невиконаних заходів із зазначенням причин невиконання</w:t>
      </w:r>
      <w:r w:rsidR="005268A4"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F1760" w:rsidRPr="002361AE" w:rsidRDefault="00CF1760" w:rsidP="00C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4962" w:type="pct"/>
        <w:tblInd w:w="108" w:type="dxa"/>
        <w:tblLook w:val="04A0" w:firstRow="1" w:lastRow="0" w:firstColumn="1" w:lastColumn="0" w:noHBand="0" w:noVBand="1"/>
      </w:tblPr>
      <w:tblGrid>
        <w:gridCol w:w="3294"/>
        <w:gridCol w:w="6486"/>
      </w:tblGrid>
      <w:tr w:rsidR="007D3073" w:rsidRPr="002361AE" w:rsidTr="0061072D">
        <w:tc>
          <w:tcPr>
            <w:tcW w:w="1684" w:type="pct"/>
          </w:tcPr>
          <w:p w:rsidR="00DD12EB" w:rsidRPr="002361AE" w:rsidRDefault="0061072D" w:rsidP="006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Захід програми</w:t>
            </w:r>
          </w:p>
        </w:tc>
        <w:tc>
          <w:tcPr>
            <w:tcW w:w="3316" w:type="pct"/>
          </w:tcPr>
          <w:p w:rsidR="00DD12EB" w:rsidRPr="002361AE" w:rsidRDefault="0061072D" w:rsidP="006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Причина невиконання</w:t>
            </w:r>
          </w:p>
        </w:tc>
      </w:tr>
      <w:tr w:rsidR="0061072D" w:rsidRPr="002361AE" w:rsidTr="00647161">
        <w:tc>
          <w:tcPr>
            <w:tcW w:w="1684" w:type="pct"/>
          </w:tcPr>
          <w:p w:rsidR="0061072D" w:rsidRPr="002361AE" w:rsidRDefault="0061072D" w:rsidP="000A1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Створення, впровадження, модернізація та супроводження автоматизованої системи контролю оплати паркування</w:t>
            </w:r>
          </w:p>
        </w:tc>
        <w:tc>
          <w:tcPr>
            <w:tcW w:w="3316" w:type="pct"/>
          </w:tcPr>
          <w:p w:rsidR="0061072D" w:rsidRPr="002361AE" w:rsidRDefault="0061072D" w:rsidP="001937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Відповідно до пункту 2 розпорядження виконавчого органу Київської міської ради (Київської міської державної адміністрації) від 17.01.2019 № 75 «Про створення автоматизованої системи контролю оплати вартості послуг з паркування в місті Києві» замовником послуг визначено комунальне підприємство «</w:t>
            </w:r>
            <w:proofErr w:type="spellStart"/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Київтранспарксервіс</w:t>
            </w:r>
            <w:proofErr w:type="spellEnd"/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». </w:t>
            </w:r>
            <w:r w:rsidR="003A3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Зазначене комунальне підприємство не визначено виконавцем пункту 5.1 напрямів діяльності і заходів програми</w:t>
            </w:r>
            <w:r w:rsidR="00193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Зміни до програми не вносилися. Тому пункт 5.1 не </w:t>
            </w:r>
            <w:r w:rsidR="003A3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виконувався.</w:t>
            </w:r>
          </w:p>
        </w:tc>
      </w:tr>
      <w:tr w:rsidR="0061072D" w:rsidRPr="002361AE" w:rsidTr="00647161">
        <w:tc>
          <w:tcPr>
            <w:tcW w:w="1684" w:type="pct"/>
          </w:tcPr>
          <w:p w:rsidR="0061072D" w:rsidRPr="002361AE" w:rsidRDefault="0061072D" w:rsidP="00610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Створення та супроводження платформи «Електронна медицина»</w:t>
            </w:r>
          </w:p>
        </w:tc>
        <w:tc>
          <w:tcPr>
            <w:tcW w:w="3316" w:type="pct"/>
          </w:tcPr>
          <w:p w:rsidR="0061072D" w:rsidRPr="002361AE" w:rsidRDefault="0061072D" w:rsidP="00BE7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2021 році опрацьовувалися пропозиції Департаменту охорони здоров’я виконавчого органу Київської міської ради (Київської міської державної адміністрації) та підпорядкованих йому організацій щодо створення платформи «Електронна медицина» (далі – Платформа) для формування проєкту технічних вимог, зокрема можливість реалізації додаткових вимог комунального некомерційного підприємства «Київський міський інформаційно-аналітичний центр медичної статистики» щодо автоматичного формування звітів в межах функціонування Платформи. </w:t>
            </w:r>
            <w:r w:rsidR="008C74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Роботи заплановано на 2022 рік.</w:t>
            </w:r>
          </w:p>
        </w:tc>
      </w:tr>
      <w:tr w:rsidR="0061072D" w:rsidRPr="002361AE" w:rsidTr="00647161">
        <w:tc>
          <w:tcPr>
            <w:tcW w:w="1684" w:type="pct"/>
          </w:tcPr>
          <w:p w:rsidR="0061072D" w:rsidRPr="002361AE" w:rsidRDefault="0061072D" w:rsidP="00610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Проведення інформаційно-консультаційних заходів щодо реалізації міських проектів із створення інформаційно-комунікаційних технологій та е-сервісів, популяризація та навчання користуванню е-сервісами, проведення щорічних форумів Київ Смарт Сіті</w:t>
            </w:r>
          </w:p>
        </w:tc>
        <w:tc>
          <w:tcPr>
            <w:tcW w:w="3316" w:type="pct"/>
          </w:tcPr>
          <w:p w:rsidR="0061072D" w:rsidRPr="002361AE" w:rsidRDefault="0061072D" w:rsidP="00CD3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Щорічний форум Київ Смарт Сіті не проводився у зв’язку із введеними обмеженням</w:t>
            </w:r>
            <w:r w:rsidR="00CD3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виконання </w:t>
            </w:r>
            <w:r w:rsidR="00CD3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вимог </w:t>
            </w: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постанови Кабінету Міністрів України від 09</w:t>
            </w:r>
            <w:r w:rsidR="00CD3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.12.2020 </w:t>
            </w:r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коронавірусом</w:t>
            </w:r>
            <w:proofErr w:type="spellEnd"/>
            <w:r w:rsidRPr="00236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SARS-CoV-2».</w:t>
            </w:r>
          </w:p>
        </w:tc>
      </w:tr>
    </w:tbl>
    <w:p w:rsidR="005878D4" w:rsidRDefault="005878D4" w:rsidP="00DD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12EB" w:rsidRPr="00B177DC" w:rsidRDefault="00DD12EB" w:rsidP="00DD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 Оцінка </w:t>
      </w:r>
      <w:r w:rsidR="00DD1F48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ефективності виконання програми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69"/>
        <w:gridCol w:w="1265"/>
        <w:gridCol w:w="1453"/>
        <w:gridCol w:w="1620"/>
        <w:gridCol w:w="834"/>
        <w:gridCol w:w="1196"/>
        <w:gridCol w:w="1378"/>
        <w:gridCol w:w="1240"/>
      </w:tblGrid>
      <w:tr w:rsidR="00B34D71" w:rsidRPr="00DD12EB" w:rsidTr="00F55CA2">
        <w:tc>
          <w:tcPr>
            <w:tcW w:w="2642" w:type="pct"/>
            <w:gridSpan w:val="4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Результативні показники</w:t>
            </w:r>
          </w:p>
        </w:tc>
        <w:tc>
          <w:tcPr>
            <w:tcW w:w="2358" w:type="pct"/>
            <w:gridSpan w:val="4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Індикатори програми</w:t>
            </w:r>
          </w:p>
        </w:tc>
      </w:tr>
      <w:tr w:rsidR="00F55CA2" w:rsidRPr="00DD12EB" w:rsidTr="00F55CA2">
        <w:tc>
          <w:tcPr>
            <w:tcW w:w="1820" w:type="pct"/>
            <w:gridSpan w:val="3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Кількість результативних показників, од.</w:t>
            </w:r>
          </w:p>
        </w:tc>
        <w:tc>
          <w:tcPr>
            <w:tcW w:w="822" w:type="pct"/>
            <w:vMerge w:val="restart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Відсоток виконаних результативних показників, %</w:t>
            </w:r>
          </w:p>
        </w:tc>
        <w:tc>
          <w:tcPr>
            <w:tcW w:w="1729" w:type="pct"/>
            <w:gridSpan w:val="3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Кількість індикаторів програми, од.</w:t>
            </w:r>
          </w:p>
        </w:tc>
        <w:tc>
          <w:tcPr>
            <w:tcW w:w="629" w:type="pct"/>
            <w:vMerge w:val="restart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Відсоток досягнутих індикаторів програми, %</w:t>
            </w:r>
          </w:p>
        </w:tc>
      </w:tr>
      <w:tr w:rsidR="00F55CA2" w:rsidRPr="00DD12EB" w:rsidTr="00F55CA2">
        <w:tc>
          <w:tcPr>
            <w:tcW w:w="441" w:type="pct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642" w:type="pct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Виконаних</w:t>
            </w:r>
          </w:p>
        </w:tc>
        <w:tc>
          <w:tcPr>
            <w:tcW w:w="737" w:type="pct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Невиконаних</w:t>
            </w:r>
          </w:p>
        </w:tc>
        <w:tc>
          <w:tcPr>
            <w:tcW w:w="822" w:type="pct"/>
            <w:vMerge/>
            <w:hideMark/>
          </w:tcPr>
          <w:p w:rsidR="00DD12EB" w:rsidRPr="00DD12EB" w:rsidRDefault="00DD12EB" w:rsidP="00DD1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607" w:type="pct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Досягнутих</w:t>
            </w:r>
          </w:p>
        </w:tc>
        <w:tc>
          <w:tcPr>
            <w:tcW w:w="699" w:type="pct"/>
            <w:hideMark/>
          </w:tcPr>
          <w:p w:rsidR="00DD12EB" w:rsidRPr="004A3F79" w:rsidRDefault="00DD12EB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Недосягнутих</w:t>
            </w:r>
          </w:p>
        </w:tc>
        <w:tc>
          <w:tcPr>
            <w:tcW w:w="629" w:type="pct"/>
            <w:vMerge/>
            <w:hideMark/>
          </w:tcPr>
          <w:p w:rsidR="00DD12EB" w:rsidRPr="00DD12EB" w:rsidRDefault="00DD12EB" w:rsidP="00DD12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CA2" w:rsidRPr="00233CFA" w:rsidTr="00F55CA2">
        <w:tc>
          <w:tcPr>
            <w:tcW w:w="441" w:type="pct"/>
          </w:tcPr>
          <w:p w:rsidR="00DD12EB" w:rsidRPr="00F55CA2" w:rsidRDefault="009B7B8D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42" w:type="pct"/>
          </w:tcPr>
          <w:p w:rsidR="00DD12EB" w:rsidRPr="00F55CA2" w:rsidRDefault="009B7B8D" w:rsidP="009B7B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7" w:type="pct"/>
          </w:tcPr>
          <w:p w:rsidR="00DD12EB" w:rsidRPr="00F55CA2" w:rsidRDefault="009B7B8D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2" w:type="pct"/>
          </w:tcPr>
          <w:p w:rsidR="00DD12EB" w:rsidRPr="00F55CA2" w:rsidRDefault="009B7B8D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3" w:type="pct"/>
            <w:hideMark/>
          </w:tcPr>
          <w:p w:rsidR="00DD12EB" w:rsidRPr="00F55CA2" w:rsidRDefault="00CF1760" w:rsidP="00313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pct"/>
            <w:hideMark/>
          </w:tcPr>
          <w:p w:rsidR="00DD12EB" w:rsidRPr="00F55CA2" w:rsidRDefault="00CF1760" w:rsidP="00DD1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</w:t>
            </w:r>
            <w:r w:rsidR="00471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частково)</w:t>
            </w:r>
            <w:r w:rsidR="00DD12EB"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hideMark/>
          </w:tcPr>
          <w:p w:rsidR="00DD12EB" w:rsidRPr="00F55CA2" w:rsidRDefault="00CF1760" w:rsidP="00313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  <w:hideMark/>
          </w:tcPr>
          <w:p w:rsidR="00DD12EB" w:rsidRPr="00F55CA2" w:rsidRDefault="00471D34" w:rsidP="009B7B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</w:tbl>
    <w:p w:rsidR="00F10D5E" w:rsidRDefault="00F10D5E" w:rsidP="00186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E1" w:rsidRPr="00B177DC" w:rsidRDefault="005747D9" w:rsidP="00186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Програма виконана на 6</w:t>
      </w:r>
      <w:r w:rsidR="00F04FE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F04FE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F10D5E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виконано </w:t>
      </w:r>
      <w:r w:rsidR="00F860F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 заходів Програми</w:t>
      </w:r>
      <w:r w:rsidR="00F04FE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зокрема </w:t>
      </w:r>
      <w:r w:rsidR="00AF6F97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D11B0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 результативн</w:t>
      </w:r>
      <w:r w:rsidR="004A198F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r w:rsidR="005D11B0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показник</w:t>
      </w:r>
      <w:r w:rsidR="004A198F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04FE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(60%)</w:t>
      </w:r>
      <w:r w:rsidR="00037BC9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8622F" w:rsidRDefault="0018622F" w:rsidP="00186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37BC9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ідповідно 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рішень Київської міської ради від 24.12.2020 № 24/24 «Про бюджет міста Києва на 2021 рік», від 22.04.2021 № 574/615 «Про внесення змін до рішення Київської міської ради від 24 грудня 2020 року № 24/24 «Про бюджет міста Києва на 2021 рік», від 07.10.2021 № 2731/2772 «Про внесення змін до рішення Київської міської ради від 24 грудня 2020 року №</w:t>
      </w:r>
      <w:r w:rsidR="00F04FE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24/24 «Про бюджет міста Києва на 2021 рік» для виконання заходів (завдань) </w:t>
      </w:r>
      <w:r w:rsidR="00BF7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рограми Департаменту інформаційно-комунікаційних технологій виконавчого органу Київської міської ради (Київської міської державної адміністрації) виділено кошти у сумі</w:t>
      </w:r>
      <w:r w:rsidR="007B7C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1 427 024,486 тис. грн, апарату виконавчого органу Київської міської ради (Київської міської державної адміністрації) – 4 334,900 тис. грн, Департаменту внутрішнього фінансового контролю та аудиту виконавчого органу Київської міської ради (Київської міської державної адміністрації) – 300,0 тис. грн, що загалом складає</w:t>
      </w:r>
      <w:r w:rsidR="007B7C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1 431 659,386 тис. грн (74% від запланованого). </w:t>
      </w:r>
    </w:p>
    <w:p w:rsidR="00876E21" w:rsidRPr="00876E21" w:rsidRDefault="00876E21" w:rsidP="00876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Всього освоєно коштів протягом 2021 року по Програмі –</w:t>
      </w:r>
      <w:r w:rsidRPr="00876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1 356 881,509 тис.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грн (95% від </w:t>
      </w:r>
      <w:r w:rsidR="007B7C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виділеного).</w:t>
      </w:r>
      <w:r w:rsidRPr="00876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5544C" w:rsidRPr="00B177DC" w:rsidRDefault="0018622F" w:rsidP="00186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бюджетної програми </w:t>
      </w:r>
      <w:r w:rsidR="00890474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«Реалізація Національної програми інформатизації», за якою здійснювалося фінансування </w:t>
      </w:r>
      <w:r w:rsidR="000D2AA6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заходів </w:t>
      </w:r>
      <w:r w:rsidR="000E7EF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90474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рограми</w:t>
      </w:r>
      <w:r w:rsidR="000D2AA6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виконавцем яких визначено </w:t>
      </w:r>
      <w:r w:rsidR="000E7EF1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 інформаційно-комунікаційних технологій виконавчого органу Київської міської ради (Київської міської державної адміністрації)</w:t>
      </w:r>
      <w:r w:rsidR="00890474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змінювався чотири рази відповідно до </w:t>
      </w:r>
      <w:r w:rsidR="009F15CB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змін обсягів </w:t>
      </w:r>
      <w:r w:rsidR="00971A46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коштів, </w:t>
      </w:r>
      <w:r w:rsidR="009F15CB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які </w:t>
      </w:r>
      <w:r w:rsidR="00971A46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виділялися з бюджету міста Києва протягом 2021 року. Відповідно до цього змінювалися результативні показники </w:t>
      </w:r>
      <w:r w:rsidR="0095229F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виконання заходів </w:t>
      </w:r>
      <w:r w:rsidR="00E5544C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5229F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рограми </w:t>
      </w:r>
      <w:r w:rsidR="00971A46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паспорті.</w:t>
      </w:r>
      <w:r w:rsidR="00A63193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D12EB" w:rsidRPr="00372030" w:rsidRDefault="00DD12EB" w:rsidP="000A4E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0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Обґрунтування причин невиконання (низького виконання) програми в цілому.</w:t>
      </w:r>
    </w:p>
    <w:p w:rsidR="00617A97" w:rsidRPr="00876E21" w:rsidRDefault="000A4E1B" w:rsidP="00617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Програма виконана на 62%, при цьому не виконано 24 із 63 заходів програми</w:t>
      </w:r>
      <w:r w:rsidR="00892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</w:t>
      </w:r>
      <w:r w:rsidR="00E72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апланованих до виконання</w:t>
      </w:r>
      <w:r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2021 рік. </w:t>
      </w:r>
      <w:r w:rsidR="00C72899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Програма профінансована на 74%. Фінансування у 2021 році виділялося на виконання </w:t>
      </w:r>
      <w:r w:rsidR="00337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проєктів,</w:t>
      </w:r>
      <w:r w:rsidR="003376AF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2899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найбільш важлив</w:t>
      </w:r>
      <w:r w:rsidR="004A3F79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 w:rsidR="00C72899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міста Києва</w:t>
      </w:r>
      <w:r w:rsidR="004A3F79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1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Освоєно 95% від виділеного фінансування у 2021 році.</w:t>
      </w:r>
      <w:r w:rsidR="00617A97" w:rsidRPr="00876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5135A" w:rsidRPr="000B506F" w:rsidRDefault="0095135A" w:rsidP="000B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початку 2019 року в</w:t>
      </w:r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ідповідно до пункту 2 розпорядження виконавчого органу Київської міської ради (Київської міської державної адміністрації) від 17.01.2019 № 75 «Про створення автоматизованої системи контролю оплати вартості послуг з паркування в місті Києві» замовником послуг визначено комунальне підприємство «</w:t>
      </w:r>
      <w:proofErr w:type="spellStart"/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Київтранспарксервіс</w:t>
      </w:r>
      <w:proofErr w:type="spellEnd"/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="001B4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33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Зазначене комунальне підприємство не визначено виконавцем пункту 5.1 «</w:t>
      </w:r>
      <w:r w:rsidR="00B33422"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Створення, впровадження, модернізація та супроводження автоматизованої системи контролю оплати паркування</w:t>
      </w:r>
      <w:r w:rsidR="00B33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програми. Зміни до програми не вносилися. Тому пункт 5.1 не виконувався.</w:t>
      </w:r>
    </w:p>
    <w:p w:rsidR="00C72899" w:rsidRPr="000B506F" w:rsidRDefault="00FA3445" w:rsidP="000B5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</w:t>
      </w:r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зв’язку із введеними обмеженням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виконання постанови Кабінету Міністрів України від 09</w:t>
      </w:r>
      <w:r w:rsid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.12.2020</w:t>
      </w:r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коронавірусом</w:t>
      </w:r>
      <w:proofErr w:type="spellEnd"/>
      <w:r w:rsidRPr="00236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SARS-CoV-2»</w:t>
      </w:r>
      <w:r w:rsidR="00887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виконувалася д</w:t>
      </w:r>
      <w:r w:rsidR="0043364B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еякі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проєкти</w:t>
      </w:r>
      <w:r w:rsidR="00B476BF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програми, які стосува</w:t>
      </w:r>
      <w:r w:rsidR="0043364B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лися проведення масових заходів</w:t>
      </w:r>
      <w:r w:rsidR="006D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або залучення громадськості </w:t>
      </w:r>
      <w:r w:rsidR="00F85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ІТ-бізнесу </w:t>
      </w:r>
      <w:r w:rsidR="006D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F85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комунікації</w:t>
      </w:r>
      <w:r w:rsidR="0043364B" w:rsidRPr="000B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13.2 «Проведення інформаційно-консультаційних заходів щодо реалізації міських проектів із створення інформаційно-комунікаційних технологій та е-сервісів, популяризація та навчання користуванню е-сервісами, проведення щорічних форумів Київ Смарт Сіті», </w:t>
      </w:r>
      <w:r w:rsidR="006D79ED" w:rsidRPr="006D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17.2. </w:t>
      </w:r>
      <w:r w:rsidR="006D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D79ED" w:rsidRPr="006D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Розробка стандартів смарт сіті з метою стимулювання співробітництва між містом, бізнесом, спільнотою</w:t>
      </w:r>
      <w:r w:rsidR="006D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33CC5" w:rsidRP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17.3</w:t>
      </w:r>
      <w:r w:rsid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033CC5" w:rsidRP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Стимулювання розвитку інноваційного середовища:</w:t>
      </w:r>
      <w:r w:rsidR="00F85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CC5" w:rsidRP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87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33CC5" w:rsidRP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 хабів та інкубаторів міських проектів; - підтримка обраних перспективних галузей і бізнес-районів, важливих с точки зору розвитку міста; стимулювання співпраці університетів, дослідницьких структур, ІТ-індустрії, міської влади, громадського сектора</w:t>
      </w:r>
      <w:r w:rsidR="0003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="006D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07AB8" w:rsidRDefault="00F858A5" w:rsidP="00CA3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причини відсутності </w:t>
      </w:r>
      <w:r w:rsidR="0042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технічних вимог та підтвердження необхідності </w:t>
      </w:r>
      <w:r w:rsidR="00CA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 антикорупційної гарячої лінії</w:t>
      </w:r>
      <w:r w:rsidR="00257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CA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році не виконувався пункт </w:t>
      </w:r>
      <w:r w:rsidR="007F5768" w:rsidRPr="007F5768">
        <w:rPr>
          <w:rFonts w:ascii="Times New Roman" w:hAnsi="Times New Roman" w:cs="Times New Roman"/>
          <w:sz w:val="26"/>
          <w:szCs w:val="26"/>
        </w:rPr>
        <w:t xml:space="preserve">13.4. </w:t>
      </w:r>
      <w:r w:rsidR="00CA3F16">
        <w:rPr>
          <w:rFonts w:ascii="Times New Roman" w:hAnsi="Times New Roman" w:cs="Times New Roman"/>
          <w:sz w:val="26"/>
          <w:szCs w:val="26"/>
        </w:rPr>
        <w:t>«</w:t>
      </w:r>
      <w:r w:rsidR="007F5768" w:rsidRPr="007F5768">
        <w:rPr>
          <w:rFonts w:ascii="Times New Roman" w:hAnsi="Times New Roman" w:cs="Times New Roman"/>
          <w:sz w:val="26"/>
          <w:szCs w:val="26"/>
        </w:rPr>
        <w:t>Створення програмно-апаратного комплексу по обслуговуванню антикорупційної гарячої лінії</w:t>
      </w:r>
      <w:r w:rsidR="00CA3F16">
        <w:rPr>
          <w:rFonts w:ascii="Times New Roman" w:hAnsi="Times New Roman" w:cs="Times New Roman"/>
          <w:sz w:val="26"/>
          <w:szCs w:val="26"/>
        </w:rPr>
        <w:t>».</w:t>
      </w:r>
    </w:p>
    <w:p w:rsidR="005C4559" w:rsidRDefault="005C4559" w:rsidP="00CA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 2021 році </w:t>
      </w:r>
      <w:r w:rsidR="00A52A2B">
        <w:rPr>
          <w:rFonts w:ascii="Times New Roman" w:hAnsi="Times New Roman" w:cs="Times New Roman"/>
          <w:sz w:val="26"/>
          <w:szCs w:val="26"/>
        </w:rPr>
        <w:t xml:space="preserve">для приведення </w:t>
      </w:r>
      <w:r w:rsidR="00667C0C">
        <w:rPr>
          <w:rFonts w:ascii="Times New Roman" w:hAnsi="Times New Roman" w:cs="Times New Roman"/>
          <w:sz w:val="26"/>
          <w:szCs w:val="26"/>
        </w:rPr>
        <w:t xml:space="preserve">завдань програми </w:t>
      </w:r>
      <w:r w:rsidR="00A52A2B">
        <w:rPr>
          <w:rFonts w:ascii="Times New Roman" w:hAnsi="Times New Roman" w:cs="Times New Roman"/>
          <w:sz w:val="26"/>
          <w:szCs w:val="26"/>
        </w:rPr>
        <w:t xml:space="preserve">у відповідність </w:t>
      </w:r>
      <w:r w:rsidR="0013754E">
        <w:rPr>
          <w:rFonts w:ascii="Times New Roman" w:hAnsi="Times New Roman" w:cs="Times New Roman"/>
          <w:sz w:val="26"/>
          <w:szCs w:val="26"/>
        </w:rPr>
        <w:t xml:space="preserve">до отриманих у 2019-2021 роках результатів та </w:t>
      </w:r>
      <w:r>
        <w:rPr>
          <w:rFonts w:ascii="Times New Roman" w:hAnsi="Times New Roman" w:cs="Times New Roman"/>
          <w:sz w:val="26"/>
          <w:szCs w:val="26"/>
        </w:rPr>
        <w:t>внесен</w:t>
      </w:r>
      <w:r w:rsidR="0013754E">
        <w:rPr>
          <w:rFonts w:ascii="Times New Roman" w:hAnsi="Times New Roman" w:cs="Times New Roman"/>
          <w:sz w:val="26"/>
          <w:szCs w:val="26"/>
        </w:rPr>
        <w:t>ня необхідних</w:t>
      </w:r>
      <w:r w:rsidR="00667C0C">
        <w:rPr>
          <w:rFonts w:ascii="Times New Roman" w:hAnsi="Times New Roman" w:cs="Times New Roman"/>
          <w:sz w:val="26"/>
          <w:szCs w:val="26"/>
        </w:rPr>
        <w:t xml:space="preserve"> коригувань</w:t>
      </w:r>
      <w:r>
        <w:rPr>
          <w:rFonts w:ascii="Times New Roman" w:hAnsi="Times New Roman" w:cs="Times New Roman"/>
          <w:sz w:val="26"/>
          <w:szCs w:val="26"/>
        </w:rPr>
        <w:t xml:space="preserve"> до</w:t>
      </w:r>
      <w:r w:rsidR="00BD780B">
        <w:rPr>
          <w:rFonts w:ascii="Times New Roman" w:hAnsi="Times New Roman" w:cs="Times New Roman"/>
          <w:sz w:val="26"/>
          <w:szCs w:val="26"/>
        </w:rPr>
        <w:t xml:space="preserve"> заходів </w:t>
      </w:r>
      <w:r>
        <w:rPr>
          <w:rFonts w:ascii="Times New Roman" w:hAnsi="Times New Roman" w:cs="Times New Roman"/>
          <w:sz w:val="26"/>
          <w:szCs w:val="26"/>
        </w:rPr>
        <w:t>програми</w:t>
      </w:r>
      <w:r w:rsidR="00BD780B">
        <w:rPr>
          <w:rFonts w:ascii="Times New Roman" w:hAnsi="Times New Roman" w:cs="Times New Roman"/>
          <w:sz w:val="26"/>
          <w:szCs w:val="26"/>
        </w:rPr>
        <w:t xml:space="preserve"> на 2022 рік підготовлено зміни до програми</w:t>
      </w:r>
      <w:r>
        <w:rPr>
          <w:rFonts w:ascii="Times New Roman" w:hAnsi="Times New Roman" w:cs="Times New Roman"/>
          <w:sz w:val="26"/>
          <w:szCs w:val="26"/>
        </w:rPr>
        <w:t>, які схвалені</w:t>
      </w:r>
      <w:r w:rsidR="00BD7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розпорядження</w:t>
      </w:r>
      <w:r w:rsidR="00BD780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7560" w:rsidRPr="00B1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  <w:r w:rsidR="00AB7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від 31.12.2021 № </w:t>
      </w:r>
      <w:r w:rsidR="00A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2814</w:t>
      </w:r>
      <w:r w:rsidR="00BD78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Розроблено </w:t>
      </w:r>
      <w:r w:rsidR="00A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проєкт рішення Київської міської ради</w:t>
      </w:r>
      <w:r w:rsidR="006A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який подано на розгляд та затвердження Київській міській раді</w:t>
      </w:r>
      <w:r w:rsidR="00A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23B5" w:rsidRDefault="00A423B5" w:rsidP="00CA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23B5" w:rsidRDefault="00A423B5" w:rsidP="00CA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23B5" w:rsidRDefault="00A423B5" w:rsidP="00CA3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5768" w:rsidRDefault="007F5768" w:rsidP="00107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3191"/>
      </w:tblGrid>
      <w:tr w:rsidR="00107AB8" w:rsidRPr="000B506F" w:rsidTr="00FC5814">
        <w:tc>
          <w:tcPr>
            <w:tcW w:w="4219" w:type="dxa"/>
          </w:tcPr>
          <w:p w:rsidR="00107AB8" w:rsidRPr="000B506F" w:rsidRDefault="00107AB8" w:rsidP="00FC5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06F">
              <w:rPr>
                <w:rFonts w:ascii="Times New Roman" w:hAnsi="Times New Roman" w:cs="Times New Roman"/>
                <w:sz w:val="26"/>
                <w:szCs w:val="26"/>
              </w:rPr>
              <w:t>Головний спеціаліст відділу з питань цифровізації, стратегічного розвитку сфери цифровізації</w:t>
            </w:r>
          </w:p>
        </w:tc>
        <w:tc>
          <w:tcPr>
            <w:tcW w:w="1985" w:type="dxa"/>
          </w:tcPr>
          <w:p w:rsidR="00107AB8" w:rsidRPr="000B506F" w:rsidRDefault="00107AB8" w:rsidP="00FC5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07AB8" w:rsidRPr="000B506F" w:rsidRDefault="00107AB8" w:rsidP="00FC5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AB8" w:rsidRPr="000B506F" w:rsidRDefault="00107AB8" w:rsidP="00FC5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AB8" w:rsidRPr="000B506F" w:rsidRDefault="00107AB8" w:rsidP="00FC581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506F">
              <w:rPr>
                <w:rFonts w:ascii="Times New Roman" w:hAnsi="Times New Roman" w:cs="Times New Roman"/>
                <w:sz w:val="26"/>
                <w:szCs w:val="26"/>
              </w:rPr>
              <w:t>Олександр ГАПІЙ</w:t>
            </w:r>
          </w:p>
        </w:tc>
      </w:tr>
    </w:tbl>
    <w:p w:rsidR="00FE32A2" w:rsidRPr="00D93F58" w:rsidRDefault="00C72EE9" w:rsidP="007A1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2A2" w:rsidRPr="00D93F58" w:rsidSect="007A10CF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C75"/>
    <w:multiLevelType w:val="multilevel"/>
    <w:tmpl w:val="1562AE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84490B"/>
    <w:multiLevelType w:val="hybridMultilevel"/>
    <w:tmpl w:val="F5F2E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EB"/>
    <w:rsid w:val="00006ECA"/>
    <w:rsid w:val="00017104"/>
    <w:rsid w:val="00033CC5"/>
    <w:rsid w:val="00037BC9"/>
    <w:rsid w:val="000A178E"/>
    <w:rsid w:val="000A3070"/>
    <w:rsid w:val="000A4E1B"/>
    <w:rsid w:val="000A5FD6"/>
    <w:rsid w:val="000B3713"/>
    <w:rsid w:val="000B506F"/>
    <w:rsid w:val="000D1AB4"/>
    <w:rsid w:val="000D2AA6"/>
    <w:rsid w:val="000E7D5B"/>
    <w:rsid w:val="000E7EF1"/>
    <w:rsid w:val="00107AB8"/>
    <w:rsid w:val="00120B21"/>
    <w:rsid w:val="00121D75"/>
    <w:rsid w:val="0013754E"/>
    <w:rsid w:val="001470A2"/>
    <w:rsid w:val="001507ED"/>
    <w:rsid w:val="00162863"/>
    <w:rsid w:val="0016372A"/>
    <w:rsid w:val="0018622F"/>
    <w:rsid w:val="0019370B"/>
    <w:rsid w:val="00196D3E"/>
    <w:rsid w:val="001B4A67"/>
    <w:rsid w:val="001E7772"/>
    <w:rsid w:val="00207242"/>
    <w:rsid w:val="002072FF"/>
    <w:rsid w:val="00233CFA"/>
    <w:rsid w:val="002361AE"/>
    <w:rsid w:val="002522EC"/>
    <w:rsid w:val="00257632"/>
    <w:rsid w:val="002945F5"/>
    <w:rsid w:val="002A17A4"/>
    <w:rsid w:val="002C5DBF"/>
    <w:rsid w:val="002C7E8A"/>
    <w:rsid w:val="00306B9B"/>
    <w:rsid w:val="00313A0F"/>
    <w:rsid w:val="0032023A"/>
    <w:rsid w:val="003237F7"/>
    <w:rsid w:val="003328AD"/>
    <w:rsid w:val="003376AF"/>
    <w:rsid w:val="00365882"/>
    <w:rsid w:val="00372030"/>
    <w:rsid w:val="00380EA9"/>
    <w:rsid w:val="003A38E8"/>
    <w:rsid w:val="003A498F"/>
    <w:rsid w:val="003A7B75"/>
    <w:rsid w:val="003C7B4C"/>
    <w:rsid w:val="00422DA4"/>
    <w:rsid w:val="0042617D"/>
    <w:rsid w:val="00431598"/>
    <w:rsid w:val="0043364B"/>
    <w:rsid w:val="00471D34"/>
    <w:rsid w:val="004909AA"/>
    <w:rsid w:val="004A0BFA"/>
    <w:rsid w:val="004A198F"/>
    <w:rsid w:val="004A3F79"/>
    <w:rsid w:val="004B074F"/>
    <w:rsid w:val="004B2D8F"/>
    <w:rsid w:val="004B6F91"/>
    <w:rsid w:val="004D19A6"/>
    <w:rsid w:val="00515C9C"/>
    <w:rsid w:val="005268A4"/>
    <w:rsid w:val="005563D0"/>
    <w:rsid w:val="005709F0"/>
    <w:rsid w:val="00573DBD"/>
    <w:rsid w:val="005747D9"/>
    <w:rsid w:val="00586FA5"/>
    <w:rsid w:val="005878D4"/>
    <w:rsid w:val="00591472"/>
    <w:rsid w:val="005C4559"/>
    <w:rsid w:val="005C70BD"/>
    <w:rsid w:val="005D11B0"/>
    <w:rsid w:val="005E6292"/>
    <w:rsid w:val="006061C4"/>
    <w:rsid w:val="0061072D"/>
    <w:rsid w:val="0061589A"/>
    <w:rsid w:val="00617A97"/>
    <w:rsid w:val="00620A8C"/>
    <w:rsid w:val="0062196A"/>
    <w:rsid w:val="00632D1C"/>
    <w:rsid w:val="0063435B"/>
    <w:rsid w:val="00637EBA"/>
    <w:rsid w:val="00640BAB"/>
    <w:rsid w:val="00640E05"/>
    <w:rsid w:val="00647161"/>
    <w:rsid w:val="006635AC"/>
    <w:rsid w:val="00667C0C"/>
    <w:rsid w:val="00667E46"/>
    <w:rsid w:val="00675845"/>
    <w:rsid w:val="0068458D"/>
    <w:rsid w:val="006A478F"/>
    <w:rsid w:val="006B15D6"/>
    <w:rsid w:val="006B71C8"/>
    <w:rsid w:val="006C4E32"/>
    <w:rsid w:val="006D79ED"/>
    <w:rsid w:val="006F03FC"/>
    <w:rsid w:val="007066C2"/>
    <w:rsid w:val="00713B5F"/>
    <w:rsid w:val="00723814"/>
    <w:rsid w:val="00741629"/>
    <w:rsid w:val="007A10CF"/>
    <w:rsid w:val="007B7CFF"/>
    <w:rsid w:val="007D214C"/>
    <w:rsid w:val="007D3073"/>
    <w:rsid w:val="007F5768"/>
    <w:rsid w:val="0080061C"/>
    <w:rsid w:val="00810BE2"/>
    <w:rsid w:val="00816C11"/>
    <w:rsid w:val="00832FDB"/>
    <w:rsid w:val="00835941"/>
    <w:rsid w:val="00863798"/>
    <w:rsid w:val="0086736F"/>
    <w:rsid w:val="00876E21"/>
    <w:rsid w:val="00883179"/>
    <w:rsid w:val="0088737E"/>
    <w:rsid w:val="00890474"/>
    <w:rsid w:val="00892578"/>
    <w:rsid w:val="00896BE0"/>
    <w:rsid w:val="008A43E6"/>
    <w:rsid w:val="008B1B3F"/>
    <w:rsid w:val="008B409D"/>
    <w:rsid w:val="008B467E"/>
    <w:rsid w:val="008C5CD4"/>
    <w:rsid w:val="008C74BD"/>
    <w:rsid w:val="008C7D5D"/>
    <w:rsid w:val="008E248B"/>
    <w:rsid w:val="008E5350"/>
    <w:rsid w:val="009021E6"/>
    <w:rsid w:val="00915AB2"/>
    <w:rsid w:val="009258F3"/>
    <w:rsid w:val="009279EB"/>
    <w:rsid w:val="00933E2D"/>
    <w:rsid w:val="009457C8"/>
    <w:rsid w:val="0095135A"/>
    <w:rsid w:val="0095229F"/>
    <w:rsid w:val="00963F05"/>
    <w:rsid w:val="009701ED"/>
    <w:rsid w:val="00970CB2"/>
    <w:rsid w:val="00971A46"/>
    <w:rsid w:val="00977A5A"/>
    <w:rsid w:val="009B5C79"/>
    <w:rsid w:val="009B7B8D"/>
    <w:rsid w:val="009D6E82"/>
    <w:rsid w:val="009E6232"/>
    <w:rsid w:val="009F15CB"/>
    <w:rsid w:val="00A06522"/>
    <w:rsid w:val="00A2549E"/>
    <w:rsid w:val="00A41140"/>
    <w:rsid w:val="00A423B5"/>
    <w:rsid w:val="00A52A2B"/>
    <w:rsid w:val="00A56A21"/>
    <w:rsid w:val="00A63193"/>
    <w:rsid w:val="00A8283A"/>
    <w:rsid w:val="00A843C4"/>
    <w:rsid w:val="00A87D28"/>
    <w:rsid w:val="00A963FC"/>
    <w:rsid w:val="00AA00AC"/>
    <w:rsid w:val="00AB7560"/>
    <w:rsid w:val="00AE7A06"/>
    <w:rsid w:val="00AF6F97"/>
    <w:rsid w:val="00B177DC"/>
    <w:rsid w:val="00B30CF1"/>
    <w:rsid w:val="00B33422"/>
    <w:rsid w:val="00B34D71"/>
    <w:rsid w:val="00B476BF"/>
    <w:rsid w:val="00B506BF"/>
    <w:rsid w:val="00B71251"/>
    <w:rsid w:val="00B72162"/>
    <w:rsid w:val="00B87635"/>
    <w:rsid w:val="00B9257C"/>
    <w:rsid w:val="00B96C20"/>
    <w:rsid w:val="00BD780B"/>
    <w:rsid w:val="00BE70C4"/>
    <w:rsid w:val="00BF2D60"/>
    <w:rsid w:val="00BF759D"/>
    <w:rsid w:val="00C149D6"/>
    <w:rsid w:val="00C21524"/>
    <w:rsid w:val="00C30242"/>
    <w:rsid w:val="00C72899"/>
    <w:rsid w:val="00C72EE9"/>
    <w:rsid w:val="00C74A07"/>
    <w:rsid w:val="00C813D6"/>
    <w:rsid w:val="00CA3F16"/>
    <w:rsid w:val="00CB0D6C"/>
    <w:rsid w:val="00CD398C"/>
    <w:rsid w:val="00CD5B48"/>
    <w:rsid w:val="00CF1760"/>
    <w:rsid w:val="00D02DD8"/>
    <w:rsid w:val="00D664DC"/>
    <w:rsid w:val="00D93F58"/>
    <w:rsid w:val="00DA406F"/>
    <w:rsid w:val="00DD12EB"/>
    <w:rsid w:val="00DD1F48"/>
    <w:rsid w:val="00DF45E2"/>
    <w:rsid w:val="00E14840"/>
    <w:rsid w:val="00E5163A"/>
    <w:rsid w:val="00E5544C"/>
    <w:rsid w:val="00E72C4C"/>
    <w:rsid w:val="00EA6AFD"/>
    <w:rsid w:val="00ED16EA"/>
    <w:rsid w:val="00F00239"/>
    <w:rsid w:val="00F00EAA"/>
    <w:rsid w:val="00F04FE1"/>
    <w:rsid w:val="00F10D5E"/>
    <w:rsid w:val="00F55CA2"/>
    <w:rsid w:val="00F6517F"/>
    <w:rsid w:val="00F858A5"/>
    <w:rsid w:val="00F860F1"/>
    <w:rsid w:val="00F86A50"/>
    <w:rsid w:val="00F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3A2A4-73E8-46F5-A9E1-3E2B765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D6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D1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30CF1"/>
    <w:pPr>
      <w:ind w:left="720"/>
      <w:contextualSpacing/>
    </w:pPr>
  </w:style>
  <w:style w:type="table" w:styleId="a5">
    <w:name w:val="Table Grid"/>
    <w:basedOn w:val="a1"/>
    <w:uiPriority w:val="59"/>
    <w:rsid w:val="0010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6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E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E7A0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8238</Words>
  <Characters>4696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Тамара Анатоліївна</dc:creator>
  <cp:lastModifiedBy>Корнійчук Віталія Олексіївна</cp:lastModifiedBy>
  <cp:revision>2</cp:revision>
  <dcterms:created xsi:type="dcterms:W3CDTF">2022-02-17T10:44:00Z</dcterms:created>
  <dcterms:modified xsi:type="dcterms:W3CDTF">2022-02-17T10:44:00Z</dcterms:modified>
</cp:coreProperties>
</file>