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 2015 року</w:t>
        <w:tab/>
        <w:tab/>
        <w:tab/>
        <w:tab/>
        <w:tab/>
        <w:tab/>
        <w:tab/>
        <w:t xml:space="preserve">  </w:t>
        <w:tab/>
        <w:t>№</w:t>
      </w:r>
      <w:r>
        <w:rPr>
          <w:rFonts w:cs="Times New Roman" w:ascii="Times New Roman" w:hAnsi="Times New Roman"/>
          <w:b/>
          <w:lang w:val="uk-UA"/>
        </w:rPr>
        <w:t>127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19год.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Київська міська організація партії “Відродження”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багатомандатному виборчому окрузі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01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Всеукраїнського 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“Батьківщина”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уповноважених осіб в багатомандатному виборчому окрузі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багатомандатному виборчому окрузі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Всеукраїнського об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en-US" w:eastAsia="uk-UA"/>
        </w:rPr>
        <w:t>'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uk-UA"/>
        </w:rPr>
        <w:t>єднання “Батьківщина”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згідно додатку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згідно додатку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LibreOffice/5.0.1.2$Windows_x86 LibreOffice_project/81898c9f5c0d43f3473ba111d7b351050be20261</Application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2015-09-24T08:10:00Z</dcterms:created>
  <dc:creator>users</dc:creator>
  <dc:language>ru-RU</dc:language>
  <dcterms:modified xsi:type="dcterms:W3CDTF">2015-10-01T16:40:06Z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